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16875198"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CD5BD8">
        <w:rPr>
          <w:b/>
          <w:sz w:val="30"/>
          <w:szCs w:val="20"/>
        </w:rPr>
        <w:t>10</w:t>
      </w:r>
      <w:r w:rsidR="00CD5BD8" w:rsidRPr="00CD5BD8">
        <w:rPr>
          <w:b/>
          <w:sz w:val="30"/>
          <w:szCs w:val="20"/>
          <w:vertAlign w:val="superscript"/>
        </w:rPr>
        <w:t>th</w:t>
      </w:r>
      <w:r w:rsidR="00CD5BD8">
        <w:rPr>
          <w:b/>
          <w:sz w:val="30"/>
          <w:szCs w:val="20"/>
        </w:rPr>
        <w:t xml:space="preserve"> November</w:t>
      </w:r>
      <w:r w:rsidR="00F2545B">
        <w:rPr>
          <w:b/>
          <w:sz w:val="30"/>
          <w:szCs w:val="20"/>
        </w:rPr>
        <w:t xml:space="preserve"> 2024</w:t>
      </w:r>
    </w:p>
    <w:p w14:paraId="49DBB78A" w14:textId="77777777" w:rsidR="007B4789" w:rsidRDefault="007B4789" w:rsidP="007B4789">
      <w:pPr>
        <w:spacing w:after="0"/>
        <w:jc w:val="both"/>
        <w:rPr>
          <w:b/>
          <w:sz w:val="30"/>
          <w:szCs w:val="20"/>
        </w:rPr>
      </w:pPr>
    </w:p>
    <w:p w14:paraId="0BD3F57D" w14:textId="79B68E04" w:rsidR="006B698D" w:rsidRDefault="00BD4E84" w:rsidP="007B4789">
      <w:pPr>
        <w:spacing w:after="0"/>
        <w:jc w:val="both"/>
        <w:rPr>
          <w:b/>
          <w:sz w:val="30"/>
          <w:szCs w:val="20"/>
        </w:rPr>
      </w:pPr>
      <w:r>
        <w:rPr>
          <w:b/>
          <w:sz w:val="30"/>
          <w:szCs w:val="20"/>
        </w:rPr>
        <w:t>Item 7</w:t>
      </w:r>
      <w:r w:rsidR="00F2545B">
        <w:rPr>
          <w:b/>
          <w:sz w:val="30"/>
          <w:szCs w:val="20"/>
        </w:rPr>
        <w:t>(a)</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4DC7584A" w14:textId="77777777" w:rsidR="002865DF" w:rsidRPr="002865DF" w:rsidRDefault="002865DF" w:rsidP="002865DF">
      <w:pPr>
        <w:pStyle w:val="BodyText"/>
        <w:rPr>
          <w:rFonts w:asciiTheme="minorHAnsi" w:hAnsiTheme="minorHAnsi" w:cstheme="minorHAnsi"/>
          <w:sz w:val="22"/>
          <w:szCs w:val="22"/>
        </w:rPr>
      </w:pPr>
    </w:p>
    <w:p w14:paraId="320D3DA4" w14:textId="7D25B4EA" w:rsidR="00811E9A" w:rsidRDefault="003C4892" w:rsidP="006E6BE9">
      <w:pPr>
        <w:pStyle w:val="ListParagraph"/>
        <w:numPr>
          <w:ilvl w:val="0"/>
          <w:numId w:val="2"/>
        </w:numPr>
        <w:rPr>
          <w:b/>
          <w:sz w:val="24"/>
          <w:szCs w:val="24"/>
        </w:rPr>
      </w:pPr>
      <w:r w:rsidRPr="0095748F">
        <w:rPr>
          <w:b/>
          <w:sz w:val="24"/>
          <w:szCs w:val="24"/>
        </w:rPr>
        <w:t xml:space="preserve">Professional Services Review </w:t>
      </w:r>
    </w:p>
    <w:p w14:paraId="54EE21B8" w14:textId="74BE95AD" w:rsidR="00C15686" w:rsidRDefault="00C15686" w:rsidP="00C15686">
      <w:pPr>
        <w:pStyle w:val="BodyText"/>
        <w:rPr>
          <w:rFonts w:ascii="Calibri" w:hAnsi="Calibri" w:cs="Calibri"/>
          <w:iCs/>
          <w:sz w:val="22"/>
          <w:szCs w:val="22"/>
        </w:rPr>
      </w:pPr>
      <w:r w:rsidRPr="00C15686">
        <w:rPr>
          <w:rFonts w:ascii="Calibri" w:hAnsi="Calibri" w:cs="Calibri"/>
          <w:iCs/>
          <w:sz w:val="22"/>
          <w:szCs w:val="22"/>
        </w:rPr>
        <w:t xml:space="preserve">The Professional Services Review has been progressing well, with Phase 1 complete, Phase 2 well underway, and preparations for Phase 3 taking place.  Professional Services staff in each department continue to be consulted extensively, with review activities taking place alongside trade union representatives, resulting in a high level of engagement and feedback.  As anticipated, this stakeholder involvement has shaped and informed much of the decision-making process. </w:t>
      </w:r>
    </w:p>
    <w:p w14:paraId="4E811132" w14:textId="77777777" w:rsidR="00C15686" w:rsidRPr="00C15686" w:rsidRDefault="00C15686" w:rsidP="00C15686">
      <w:pPr>
        <w:pStyle w:val="BodyText"/>
      </w:pPr>
    </w:p>
    <w:p w14:paraId="7D561883" w14:textId="625DF348" w:rsidR="00C15686" w:rsidRPr="00C15686" w:rsidRDefault="00C15686" w:rsidP="00C15686">
      <w:pPr>
        <w:pStyle w:val="BodyText"/>
        <w:rPr>
          <w:rFonts w:ascii="Calibri" w:hAnsi="Calibri" w:cs="Calibri"/>
          <w:iCs/>
          <w:sz w:val="22"/>
          <w:szCs w:val="22"/>
        </w:rPr>
      </w:pPr>
      <w:r w:rsidRPr="00C15686">
        <w:rPr>
          <w:rFonts w:ascii="Calibri" w:hAnsi="Calibri" w:cs="Calibri"/>
          <w:iCs/>
          <w:sz w:val="22"/>
          <w:szCs w:val="22"/>
        </w:rPr>
        <w:t xml:space="preserve">Two key objectives of the review are to have closer departmental alignment to ensure processes are joined up and straightforward for staff, and also that there is a direct line of sight of students’ needs at all times.  The departments involved in each phase of the review </w:t>
      </w:r>
      <w:r>
        <w:rPr>
          <w:rFonts w:ascii="Calibri" w:hAnsi="Calibri" w:cs="Calibri"/>
          <w:iCs/>
          <w:sz w:val="22"/>
          <w:szCs w:val="22"/>
        </w:rPr>
        <w:t>are</w:t>
      </w:r>
      <w:r w:rsidRPr="00C15686">
        <w:rPr>
          <w:rFonts w:ascii="Calibri" w:hAnsi="Calibri" w:cs="Calibri"/>
          <w:iCs/>
          <w:sz w:val="22"/>
          <w:szCs w:val="22"/>
        </w:rPr>
        <w:t xml:space="preserve"> as follows:</w:t>
      </w:r>
    </w:p>
    <w:p w14:paraId="6AF7426A" w14:textId="77777777" w:rsidR="00C15686" w:rsidRPr="00C15686" w:rsidRDefault="00C15686" w:rsidP="00C15686">
      <w:pPr>
        <w:pStyle w:val="BodyText"/>
        <w:rPr>
          <w:rFonts w:ascii="Calibri" w:hAnsi="Calibri" w:cs="Calibri"/>
          <w:iCs/>
          <w:sz w:val="22"/>
          <w:szCs w:val="22"/>
        </w:rPr>
      </w:pPr>
    </w:p>
    <w:p w14:paraId="2ABBBAD8" w14:textId="77777777" w:rsidR="00C15686" w:rsidRPr="00C15686" w:rsidRDefault="00C15686" w:rsidP="00C15686">
      <w:pPr>
        <w:pStyle w:val="BodyText"/>
        <w:rPr>
          <w:rFonts w:ascii="Calibri" w:hAnsi="Calibri" w:cs="Calibri"/>
          <w:iCs/>
          <w:sz w:val="22"/>
          <w:szCs w:val="22"/>
        </w:rPr>
      </w:pPr>
      <w:r w:rsidRPr="00C15686">
        <w:rPr>
          <w:rFonts w:ascii="Calibri" w:hAnsi="Calibri" w:cs="Calibri"/>
          <w:iCs/>
          <w:sz w:val="22"/>
          <w:szCs w:val="22"/>
        </w:rPr>
        <w:t>Phase 1</w:t>
      </w:r>
    </w:p>
    <w:p w14:paraId="7EFBBE51" w14:textId="77777777" w:rsidR="00C15686" w:rsidRPr="00C15686" w:rsidRDefault="00C15686" w:rsidP="00CE22D9">
      <w:pPr>
        <w:pStyle w:val="BodyText"/>
        <w:widowControl/>
        <w:numPr>
          <w:ilvl w:val="0"/>
          <w:numId w:val="3"/>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Student Records (previously MIS)</w:t>
      </w:r>
    </w:p>
    <w:p w14:paraId="1AC11F11" w14:textId="77777777" w:rsidR="00C15686" w:rsidRPr="00C15686" w:rsidRDefault="00C15686" w:rsidP="00CE22D9">
      <w:pPr>
        <w:pStyle w:val="BodyText"/>
        <w:widowControl/>
        <w:numPr>
          <w:ilvl w:val="0"/>
          <w:numId w:val="3"/>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Student Retention (previously Key Support)</w:t>
      </w:r>
    </w:p>
    <w:p w14:paraId="7DD1898B" w14:textId="77777777" w:rsidR="00C15686" w:rsidRPr="00C15686" w:rsidRDefault="00C15686" w:rsidP="00CE22D9">
      <w:pPr>
        <w:pStyle w:val="BodyText"/>
        <w:widowControl/>
        <w:numPr>
          <w:ilvl w:val="0"/>
          <w:numId w:val="3"/>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Systems Development</w:t>
      </w:r>
    </w:p>
    <w:p w14:paraId="6A968671" w14:textId="77777777" w:rsidR="00C15686" w:rsidRPr="00C15686" w:rsidRDefault="00C15686" w:rsidP="00CE22D9">
      <w:pPr>
        <w:pStyle w:val="BodyText"/>
        <w:widowControl/>
        <w:numPr>
          <w:ilvl w:val="0"/>
          <w:numId w:val="3"/>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Educational Support (previously Educational Learning Support)</w:t>
      </w:r>
    </w:p>
    <w:p w14:paraId="2BB07B16" w14:textId="77777777" w:rsidR="00C15686" w:rsidRPr="00C15686" w:rsidRDefault="00C15686" w:rsidP="00CE22D9">
      <w:pPr>
        <w:pStyle w:val="BodyText"/>
        <w:widowControl/>
        <w:numPr>
          <w:ilvl w:val="0"/>
          <w:numId w:val="3"/>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Professional &amp; Work Based Learning (now disbanded)</w:t>
      </w:r>
    </w:p>
    <w:p w14:paraId="2C6ED342" w14:textId="77777777" w:rsidR="00C15686" w:rsidRPr="00C15686" w:rsidRDefault="00C15686" w:rsidP="00C15686">
      <w:pPr>
        <w:pStyle w:val="BodyText"/>
        <w:rPr>
          <w:rFonts w:ascii="Calibri" w:eastAsiaTheme="minorHAnsi" w:hAnsi="Calibri" w:cs="Calibri"/>
          <w:iCs/>
          <w:sz w:val="22"/>
          <w:szCs w:val="22"/>
        </w:rPr>
      </w:pPr>
      <w:r w:rsidRPr="00C15686">
        <w:rPr>
          <w:rFonts w:ascii="Calibri" w:hAnsi="Calibri" w:cs="Calibri"/>
          <w:iCs/>
          <w:sz w:val="22"/>
          <w:szCs w:val="22"/>
        </w:rPr>
        <w:t>Phase 2</w:t>
      </w:r>
    </w:p>
    <w:p w14:paraId="32AB63C5" w14:textId="77777777" w:rsidR="00C15686" w:rsidRPr="00C15686" w:rsidRDefault="00C15686" w:rsidP="00CE22D9">
      <w:pPr>
        <w:pStyle w:val="BodyText"/>
        <w:widowControl/>
        <w:numPr>
          <w:ilvl w:val="0"/>
          <w:numId w:val="4"/>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Admissions (previously Admissions &amp; Recruitment)</w:t>
      </w:r>
    </w:p>
    <w:p w14:paraId="741F3968" w14:textId="77777777" w:rsidR="00C15686" w:rsidRPr="00C15686" w:rsidRDefault="00C15686" w:rsidP="00CE22D9">
      <w:pPr>
        <w:pStyle w:val="BodyText"/>
        <w:widowControl/>
        <w:numPr>
          <w:ilvl w:val="0"/>
          <w:numId w:val="4"/>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Customer Services (name under review)</w:t>
      </w:r>
    </w:p>
    <w:p w14:paraId="6CEA3780" w14:textId="77777777" w:rsidR="00C15686" w:rsidRPr="00C15686" w:rsidRDefault="00C15686" w:rsidP="00CE22D9">
      <w:pPr>
        <w:pStyle w:val="BodyText"/>
        <w:widowControl/>
        <w:numPr>
          <w:ilvl w:val="0"/>
          <w:numId w:val="4"/>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Student Advisers (name under review)</w:t>
      </w:r>
    </w:p>
    <w:p w14:paraId="706018EA" w14:textId="77777777" w:rsidR="00C15686" w:rsidRPr="00C15686" w:rsidRDefault="00C15686" w:rsidP="00CE22D9">
      <w:pPr>
        <w:pStyle w:val="BodyText"/>
        <w:widowControl/>
        <w:numPr>
          <w:ilvl w:val="0"/>
          <w:numId w:val="4"/>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Student Funding</w:t>
      </w:r>
    </w:p>
    <w:p w14:paraId="31A8CD1C" w14:textId="77777777" w:rsidR="00C15686" w:rsidRPr="00C15686" w:rsidRDefault="00C15686" w:rsidP="00C15686">
      <w:pPr>
        <w:pStyle w:val="BodyText"/>
        <w:rPr>
          <w:rFonts w:ascii="Calibri" w:eastAsiaTheme="minorHAnsi" w:hAnsi="Calibri" w:cs="Calibri"/>
          <w:iCs/>
          <w:sz w:val="22"/>
          <w:szCs w:val="22"/>
        </w:rPr>
      </w:pPr>
      <w:r w:rsidRPr="00C15686">
        <w:rPr>
          <w:rFonts w:ascii="Calibri" w:hAnsi="Calibri" w:cs="Calibri"/>
          <w:iCs/>
          <w:sz w:val="22"/>
          <w:szCs w:val="22"/>
        </w:rPr>
        <w:t>Phase 3</w:t>
      </w:r>
    </w:p>
    <w:p w14:paraId="33D167A4" w14:textId="77777777" w:rsidR="00C15686" w:rsidRPr="00C15686" w:rsidRDefault="00C15686" w:rsidP="00CE22D9">
      <w:pPr>
        <w:pStyle w:val="BodyText"/>
        <w:widowControl/>
        <w:numPr>
          <w:ilvl w:val="0"/>
          <w:numId w:val="5"/>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External Funding &amp; International</w:t>
      </w:r>
    </w:p>
    <w:p w14:paraId="0381C876" w14:textId="77777777" w:rsidR="00C15686" w:rsidRPr="00C15686" w:rsidRDefault="00C15686" w:rsidP="00CE22D9">
      <w:pPr>
        <w:pStyle w:val="BodyText"/>
        <w:widowControl/>
        <w:numPr>
          <w:ilvl w:val="0"/>
          <w:numId w:val="5"/>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Brand</w:t>
      </w:r>
    </w:p>
    <w:p w14:paraId="24F40E17" w14:textId="77777777" w:rsidR="00C15686" w:rsidRPr="00C15686" w:rsidRDefault="00C15686" w:rsidP="00CE22D9">
      <w:pPr>
        <w:pStyle w:val="BodyText"/>
        <w:widowControl/>
        <w:numPr>
          <w:ilvl w:val="0"/>
          <w:numId w:val="5"/>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ICT &amp; Reprographics</w:t>
      </w:r>
    </w:p>
    <w:p w14:paraId="41CD5D2D" w14:textId="77777777" w:rsidR="00C15686" w:rsidRPr="00C15686" w:rsidRDefault="00C15686" w:rsidP="00C15686">
      <w:pPr>
        <w:pStyle w:val="BodyText"/>
        <w:rPr>
          <w:rFonts w:ascii="Calibri" w:eastAsiaTheme="minorHAnsi" w:hAnsi="Calibri" w:cs="Calibri"/>
          <w:iCs/>
          <w:sz w:val="22"/>
          <w:szCs w:val="22"/>
        </w:rPr>
      </w:pPr>
      <w:r w:rsidRPr="00C15686">
        <w:rPr>
          <w:rFonts w:ascii="Calibri" w:hAnsi="Calibri" w:cs="Calibri"/>
          <w:iCs/>
          <w:sz w:val="22"/>
          <w:szCs w:val="22"/>
        </w:rPr>
        <w:t>Phase 4</w:t>
      </w:r>
    </w:p>
    <w:p w14:paraId="7E7C527F" w14:textId="77777777" w:rsidR="00C15686" w:rsidRPr="00C15686" w:rsidRDefault="00C15686" w:rsidP="00CE22D9">
      <w:pPr>
        <w:pStyle w:val="BodyText"/>
        <w:widowControl/>
        <w:numPr>
          <w:ilvl w:val="0"/>
          <w:numId w:val="6"/>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Estates</w:t>
      </w:r>
    </w:p>
    <w:p w14:paraId="0275D976" w14:textId="77777777" w:rsidR="00C15686" w:rsidRPr="00C15686" w:rsidRDefault="00C15686" w:rsidP="00CE22D9">
      <w:pPr>
        <w:pStyle w:val="BodyText"/>
        <w:widowControl/>
        <w:numPr>
          <w:ilvl w:val="0"/>
          <w:numId w:val="6"/>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Finance</w:t>
      </w:r>
    </w:p>
    <w:p w14:paraId="7E243923" w14:textId="77777777" w:rsidR="00C15686" w:rsidRPr="00C15686" w:rsidRDefault="00C15686" w:rsidP="00CE22D9">
      <w:pPr>
        <w:pStyle w:val="BodyText"/>
        <w:widowControl/>
        <w:numPr>
          <w:ilvl w:val="0"/>
          <w:numId w:val="6"/>
        </w:numPr>
        <w:spacing w:line="252" w:lineRule="auto"/>
        <w:rPr>
          <w:rFonts w:ascii="Calibri" w:eastAsia="Times New Roman" w:hAnsi="Calibri" w:cs="Calibri"/>
          <w:iCs/>
          <w:sz w:val="22"/>
          <w:szCs w:val="22"/>
        </w:rPr>
      </w:pPr>
      <w:r w:rsidRPr="00C15686">
        <w:rPr>
          <w:rFonts w:ascii="Calibri" w:eastAsia="Times New Roman" w:hAnsi="Calibri" w:cs="Calibri"/>
          <w:iCs/>
          <w:sz w:val="22"/>
          <w:szCs w:val="22"/>
        </w:rPr>
        <w:t>Catering</w:t>
      </w:r>
    </w:p>
    <w:p w14:paraId="4EB0F98A" w14:textId="77777777" w:rsidR="00C15686" w:rsidRPr="00C15686" w:rsidRDefault="00C15686" w:rsidP="00C15686">
      <w:pPr>
        <w:pStyle w:val="BodyText"/>
        <w:rPr>
          <w:rFonts w:ascii="Calibri" w:eastAsiaTheme="minorHAnsi" w:hAnsi="Calibri" w:cs="Calibri"/>
          <w:iCs/>
          <w:sz w:val="22"/>
          <w:szCs w:val="22"/>
        </w:rPr>
      </w:pPr>
    </w:p>
    <w:p w14:paraId="7661FD6B" w14:textId="77777777" w:rsidR="00C15686" w:rsidRPr="00C15686" w:rsidRDefault="00C15686" w:rsidP="00C15686">
      <w:pPr>
        <w:pStyle w:val="BodyText"/>
        <w:rPr>
          <w:lang w:val="en-GB"/>
        </w:rPr>
      </w:pPr>
      <w:r w:rsidRPr="00C15686">
        <w:rPr>
          <w:rFonts w:ascii="Calibri" w:hAnsi="Calibri" w:cs="Calibri"/>
          <w:iCs/>
          <w:sz w:val="22"/>
          <w:szCs w:val="22"/>
        </w:rPr>
        <w:t>As Phase 2 discussions are ongoing, all of our Phase 1 employees have either remained in the same role, been job matched to similar role profiles in their current department, or opted for new roles.  There have been no redundancies as a result of the review activity.</w:t>
      </w:r>
    </w:p>
    <w:p w14:paraId="2A9A7CB4" w14:textId="77777777" w:rsidR="00C15686" w:rsidRPr="00C15686" w:rsidRDefault="00C15686" w:rsidP="00C15686">
      <w:pPr>
        <w:rPr>
          <w:b/>
          <w:sz w:val="24"/>
          <w:szCs w:val="24"/>
        </w:rPr>
      </w:pPr>
    </w:p>
    <w:p w14:paraId="5FE1C048" w14:textId="42926D1C"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bookmarkStart w:id="1" w:name="_Hlk150774224"/>
      <w:r w:rsidRPr="00294A42">
        <w:rPr>
          <w:rFonts w:asciiTheme="minorHAnsi" w:hAnsiTheme="minorHAnsi" w:cstheme="minorHAnsi"/>
          <w:b/>
          <w:color w:val="auto"/>
          <w:sz w:val="24"/>
          <w:szCs w:val="24"/>
        </w:rPr>
        <w:lastRenderedPageBreak/>
        <w:t>College Employers Scotland</w:t>
      </w:r>
      <w:r w:rsidR="00703471" w:rsidRPr="00294A42">
        <w:rPr>
          <w:rFonts w:asciiTheme="minorHAnsi" w:hAnsiTheme="minorHAnsi" w:cstheme="minorHAnsi"/>
          <w:b/>
          <w:color w:val="auto"/>
          <w:sz w:val="24"/>
          <w:szCs w:val="24"/>
        </w:rPr>
        <w:t xml:space="preserve"> (CES)</w:t>
      </w:r>
    </w:p>
    <w:p w14:paraId="0670B533" w14:textId="77777777" w:rsidR="00495C7F" w:rsidRPr="00495C7F" w:rsidRDefault="00495C7F" w:rsidP="00495C7F"/>
    <w:p w14:paraId="3C95E458" w14:textId="7163AE36" w:rsidR="005E0B07" w:rsidRPr="00204388" w:rsidRDefault="0000534D" w:rsidP="005E0B07">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w:t>
      </w:r>
      <w:r w:rsidR="005E0B07" w:rsidRPr="00204388">
        <w:rPr>
          <w:rFonts w:asciiTheme="minorHAnsi" w:hAnsiTheme="minorHAnsi" w:cstheme="minorHAnsi"/>
          <w:b/>
          <w:color w:val="auto"/>
          <w:sz w:val="22"/>
          <w:szCs w:val="22"/>
        </w:rPr>
        <w:t>.</w:t>
      </w:r>
      <w:r w:rsidR="005E0B07">
        <w:rPr>
          <w:rFonts w:asciiTheme="minorHAnsi" w:hAnsiTheme="minorHAnsi" w:cstheme="minorHAnsi"/>
          <w:b/>
          <w:color w:val="auto"/>
          <w:sz w:val="22"/>
          <w:szCs w:val="22"/>
        </w:rPr>
        <w:t>1</w:t>
      </w:r>
      <w:r w:rsidR="005E0B07" w:rsidRPr="00204388">
        <w:rPr>
          <w:rFonts w:asciiTheme="minorHAnsi" w:hAnsiTheme="minorHAnsi" w:cstheme="minorHAnsi"/>
          <w:b/>
          <w:color w:val="auto"/>
          <w:sz w:val="22"/>
          <w:szCs w:val="22"/>
        </w:rPr>
        <w:tab/>
      </w:r>
      <w:r w:rsidR="005E0B07" w:rsidRPr="00204388">
        <w:rPr>
          <w:rFonts w:asciiTheme="minorHAnsi" w:hAnsiTheme="minorHAnsi" w:cstheme="minorHAnsi"/>
          <w:b/>
          <w:color w:val="auto"/>
          <w:sz w:val="22"/>
          <w:szCs w:val="22"/>
          <w:u w:val="single"/>
        </w:rPr>
        <w:t>National Bargaining Update – NJNC Side Table (Support Staff)</w:t>
      </w:r>
    </w:p>
    <w:p w14:paraId="2FE37FD5" w14:textId="2372986C" w:rsidR="00512F3B" w:rsidRPr="00512F3B" w:rsidRDefault="00512F3B" w:rsidP="00512F3B">
      <w:pPr>
        <w:rPr>
          <w:rFonts w:cstheme="minorHAnsi"/>
        </w:rPr>
      </w:pPr>
      <w:r w:rsidRPr="00512F3B">
        <w:rPr>
          <w:rFonts w:cstheme="minorHAnsi"/>
          <w:color w:val="000000"/>
          <w:lang w:eastAsia="en-GB"/>
        </w:rPr>
        <w:t xml:space="preserve">The National Joint Negotiating Committee (NJNC) – Side Table (Support) met on </w:t>
      </w:r>
      <w:r w:rsidRPr="00512F3B">
        <w:rPr>
          <w:rFonts w:cstheme="minorHAnsi"/>
          <w:bCs/>
          <w:lang w:eastAsia="en-GB"/>
        </w:rPr>
        <w:t>11</w:t>
      </w:r>
      <w:r w:rsidRPr="00512F3B">
        <w:rPr>
          <w:rFonts w:cstheme="minorHAnsi"/>
          <w:bCs/>
          <w:vertAlign w:val="superscript"/>
          <w:lang w:eastAsia="en-GB"/>
        </w:rPr>
        <w:t>th</w:t>
      </w:r>
      <w:r>
        <w:rPr>
          <w:rFonts w:cstheme="minorHAnsi"/>
          <w:bCs/>
          <w:lang w:eastAsia="en-GB"/>
        </w:rPr>
        <w:t xml:space="preserve"> and 25th</w:t>
      </w:r>
      <w:r w:rsidRPr="00512F3B">
        <w:rPr>
          <w:rFonts w:cstheme="minorHAnsi"/>
          <w:bCs/>
          <w:lang w:eastAsia="en-GB"/>
        </w:rPr>
        <w:t xml:space="preserve"> September </w:t>
      </w:r>
      <w:proofErr w:type="gramStart"/>
      <w:r w:rsidRPr="00512F3B">
        <w:rPr>
          <w:rFonts w:cstheme="minorHAnsi"/>
          <w:bCs/>
          <w:lang w:eastAsia="en-GB"/>
        </w:rPr>
        <w:t>2024</w:t>
      </w:r>
      <w:r>
        <w:rPr>
          <w:rFonts w:cstheme="minorHAnsi"/>
          <w:bCs/>
          <w:lang w:eastAsia="en-GB"/>
        </w:rPr>
        <w:t xml:space="preserve"> </w:t>
      </w:r>
      <w:r w:rsidRPr="00512F3B">
        <w:rPr>
          <w:rFonts w:cstheme="minorHAnsi"/>
          <w:lang w:eastAsia="en-GB"/>
        </w:rPr>
        <w:t>.</w:t>
      </w:r>
      <w:proofErr w:type="gramEnd"/>
      <w:r w:rsidRPr="00512F3B">
        <w:rPr>
          <w:rFonts w:cstheme="minorHAnsi"/>
          <w:lang w:eastAsia="en-GB"/>
        </w:rPr>
        <w:t>  An update on key items discussed is set out below:</w:t>
      </w:r>
    </w:p>
    <w:p w14:paraId="6F79D831" w14:textId="12514EEE" w:rsidR="00512F3B" w:rsidRPr="00512F3B" w:rsidRDefault="00512F3B" w:rsidP="00512F3B">
      <w:pPr>
        <w:rPr>
          <w:rFonts w:cstheme="minorHAnsi"/>
          <w:i/>
        </w:rPr>
      </w:pPr>
      <w:r w:rsidRPr="00512F3B">
        <w:rPr>
          <w:rFonts w:cstheme="minorHAnsi"/>
          <w:i/>
          <w:lang w:eastAsia="en-GB"/>
        </w:rPr>
        <w:t> </w:t>
      </w:r>
      <w:r w:rsidRPr="00512F3B">
        <w:rPr>
          <w:rFonts w:cstheme="minorHAnsi"/>
          <w:b/>
          <w:bCs/>
          <w:i/>
          <w:lang w:eastAsia="en-GB"/>
        </w:rPr>
        <w:t>Job Evaluation</w:t>
      </w:r>
    </w:p>
    <w:p w14:paraId="1A869DF9" w14:textId="30785600" w:rsidR="00512F3B" w:rsidRPr="00512F3B" w:rsidRDefault="00512F3B" w:rsidP="00512F3B">
      <w:pPr>
        <w:rPr>
          <w:rFonts w:cstheme="minorHAnsi"/>
        </w:rPr>
      </w:pPr>
      <w:r w:rsidRPr="00512F3B">
        <w:rPr>
          <w:rFonts w:cstheme="minorHAnsi"/>
          <w:lang w:eastAsia="en-GB"/>
        </w:rPr>
        <w:t xml:space="preserve">The side table was updated on recent informal meetings between the CES team and UNISON representatives to develop a Project Plan and Business Case. </w:t>
      </w:r>
    </w:p>
    <w:p w14:paraId="70B69646" w14:textId="77777777" w:rsidR="00512F3B" w:rsidRPr="00512F3B" w:rsidRDefault="00512F3B" w:rsidP="00512F3B">
      <w:pPr>
        <w:rPr>
          <w:rFonts w:cstheme="minorHAnsi"/>
        </w:rPr>
      </w:pPr>
      <w:r w:rsidRPr="00512F3B">
        <w:rPr>
          <w:rFonts w:cstheme="minorHAnsi"/>
          <w:lang w:eastAsia="en-GB"/>
        </w:rPr>
        <w:t xml:space="preserve">The side table was updated that at a recent meeting of the CES Executive Group, it was supportive of the group looking at all roles (new and evolved) and not just roles in scope as at 1 September 2018.  It was acknowledged that accurate data is required and that this would impact the timescales on the project plan.   </w:t>
      </w:r>
    </w:p>
    <w:p w14:paraId="252469E0" w14:textId="51CA4A30" w:rsidR="00512F3B" w:rsidRPr="00512F3B" w:rsidRDefault="00512F3B" w:rsidP="00512F3B">
      <w:pPr>
        <w:rPr>
          <w:rFonts w:cstheme="minorHAnsi"/>
          <w:i/>
        </w:rPr>
      </w:pPr>
      <w:r w:rsidRPr="00512F3B">
        <w:rPr>
          <w:rFonts w:cstheme="minorHAnsi"/>
          <w:b/>
          <w:bCs/>
          <w:lang w:eastAsia="en-GB"/>
        </w:rPr>
        <w:t> </w:t>
      </w:r>
      <w:r w:rsidRPr="00512F3B">
        <w:rPr>
          <w:rFonts w:cstheme="minorHAnsi"/>
          <w:b/>
          <w:bCs/>
          <w:i/>
          <w:lang w:eastAsia="en-GB"/>
        </w:rPr>
        <w:t>Overtime Ceiling</w:t>
      </w:r>
    </w:p>
    <w:p w14:paraId="3C353619" w14:textId="148E9801" w:rsidR="00512F3B" w:rsidRDefault="00512F3B" w:rsidP="00512F3B">
      <w:pPr>
        <w:rPr>
          <w:rFonts w:cstheme="minorHAnsi"/>
          <w:lang w:eastAsia="en-GB"/>
        </w:rPr>
      </w:pPr>
      <w:r w:rsidRPr="00512F3B">
        <w:rPr>
          <w:rFonts w:cstheme="minorHAnsi"/>
          <w:lang w:eastAsia="en-GB"/>
        </w:rPr>
        <w:t xml:space="preserve">The staff side requested the current overtime ceiling rate of £40,000 is increased with recent Pay Awards of an approx. £7,000.  The management side suggested this is something that it would expect to be included as part of a future pay claim, and not mid-way through the pay year, as it was not a decision it could make and would require discussion with CES.  </w:t>
      </w:r>
    </w:p>
    <w:p w14:paraId="3D6A203A" w14:textId="2520E2EA" w:rsidR="001073C1" w:rsidRDefault="001073C1" w:rsidP="00512F3B">
      <w:pPr>
        <w:rPr>
          <w:rFonts w:cstheme="minorHAnsi"/>
          <w:b/>
          <w:i/>
        </w:rPr>
      </w:pPr>
      <w:r>
        <w:rPr>
          <w:rFonts w:cstheme="minorHAnsi"/>
          <w:b/>
          <w:i/>
        </w:rPr>
        <w:t>Real Living Wage</w:t>
      </w:r>
    </w:p>
    <w:p w14:paraId="5C012B3B" w14:textId="21B9BBC9" w:rsidR="00284343" w:rsidRPr="00284343" w:rsidRDefault="00284343" w:rsidP="00284343">
      <w:pPr>
        <w:autoSpaceDE w:val="0"/>
        <w:autoSpaceDN w:val="0"/>
        <w:adjustRightInd w:val="0"/>
        <w:spacing w:after="0" w:line="240" w:lineRule="auto"/>
        <w:rPr>
          <w:rFonts w:cstheme="minorHAnsi"/>
        </w:rPr>
      </w:pPr>
      <w:r w:rsidRPr="00284343">
        <w:rPr>
          <w:rFonts w:cstheme="minorHAnsi"/>
          <w:lang w:eastAsia="en-GB"/>
        </w:rPr>
        <w:t>The staff side raised concerns on the implementation of the Real Living Wage</w:t>
      </w:r>
      <w:r w:rsidRPr="00284343">
        <w:rPr>
          <w:rFonts w:cstheme="minorHAnsi"/>
          <w:lang w:eastAsia="en-GB"/>
        </w:rPr>
        <w:t xml:space="preserve"> (RLW).  </w:t>
      </w:r>
      <w:r w:rsidRPr="00284343">
        <w:rPr>
          <w:rFonts w:cstheme="minorHAnsi"/>
          <w:lang w:eastAsia="en-GB"/>
        </w:rPr>
        <w:t xml:space="preserve"> </w:t>
      </w:r>
      <w:r w:rsidRPr="00284343">
        <w:rPr>
          <w:rFonts w:cstheme="minorHAnsi"/>
          <w:lang w:eastAsia="en-GB"/>
        </w:rPr>
        <w:t xml:space="preserve">At its meetings during October and November, </w:t>
      </w:r>
      <w:r w:rsidRPr="00284343">
        <w:rPr>
          <w:rFonts w:cstheme="minorHAnsi"/>
          <w:color w:val="000000"/>
        </w:rPr>
        <w:t xml:space="preserve">CES </w:t>
      </w:r>
      <w:r w:rsidRPr="00284343">
        <w:rPr>
          <w:rFonts w:cstheme="minorHAnsi"/>
          <w:color w:val="000000"/>
        </w:rPr>
        <w:t xml:space="preserve">subsequently </w:t>
      </w:r>
      <w:r w:rsidRPr="00284343">
        <w:rPr>
          <w:rFonts w:cstheme="minorHAnsi"/>
          <w:color w:val="000000"/>
        </w:rPr>
        <w:t xml:space="preserve">discussed the implementation of the new RLW rate of £12.60 which was announced on Wednesday 23 October 2024. </w:t>
      </w:r>
      <w:r w:rsidRPr="00284343">
        <w:rPr>
          <w:rFonts w:cstheme="minorHAnsi"/>
          <w:color w:val="000000"/>
        </w:rPr>
        <w:t>It was agre</w:t>
      </w:r>
      <w:r>
        <w:rPr>
          <w:rFonts w:cstheme="minorHAnsi"/>
          <w:color w:val="000000"/>
        </w:rPr>
        <w:t>e</w:t>
      </w:r>
      <w:r w:rsidRPr="00284343">
        <w:rPr>
          <w:rFonts w:cstheme="minorHAnsi"/>
          <w:color w:val="000000"/>
        </w:rPr>
        <w:t xml:space="preserve">d that colleges would </w:t>
      </w:r>
      <w:r>
        <w:rPr>
          <w:rFonts w:cstheme="minorHAnsi"/>
          <w:color w:val="000000"/>
        </w:rPr>
        <w:t xml:space="preserve">implement </w:t>
      </w:r>
      <w:r w:rsidRPr="00284343">
        <w:rPr>
          <w:rFonts w:cstheme="minorHAnsi"/>
          <w:color w:val="000000"/>
        </w:rPr>
        <w:t>the RLW</w:t>
      </w:r>
      <w:r w:rsidRPr="00284343">
        <w:rPr>
          <w:rFonts w:cstheme="minorHAnsi"/>
          <w:color w:val="000000"/>
        </w:rPr>
        <w:t xml:space="preserve"> from </w:t>
      </w:r>
      <w:r w:rsidRPr="00284343">
        <w:rPr>
          <w:rFonts w:cstheme="minorHAnsi"/>
          <w:bCs/>
          <w:color w:val="000000"/>
        </w:rPr>
        <w:t xml:space="preserve">1 November 2024, </w:t>
      </w:r>
      <w:r w:rsidRPr="00284343">
        <w:rPr>
          <w:rFonts w:cstheme="minorHAnsi"/>
          <w:color w:val="000000"/>
        </w:rPr>
        <w:t xml:space="preserve">six months ahead of the deadline date of </w:t>
      </w:r>
      <w:r w:rsidRPr="00284343">
        <w:rPr>
          <w:rFonts w:cstheme="minorHAnsi"/>
          <w:bCs/>
          <w:color w:val="000000"/>
        </w:rPr>
        <w:t xml:space="preserve">1 May </w:t>
      </w:r>
      <w:r w:rsidRPr="00284343">
        <w:rPr>
          <w:rFonts w:cstheme="minorHAnsi"/>
          <w:bCs/>
        </w:rPr>
        <w:t xml:space="preserve">2025, </w:t>
      </w:r>
      <w:r w:rsidRPr="00284343">
        <w:rPr>
          <w:rFonts w:cstheme="minorHAnsi"/>
        </w:rPr>
        <w:t xml:space="preserve">in line with the CES agreement reached </w:t>
      </w:r>
      <w:r w:rsidRPr="00284343">
        <w:rPr>
          <w:rFonts w:cstheme="minorHAnsi"/>
        </w:rPr>
        <w:t>the previous year</w:t>
      </w:r>
      <w:r w:rsidRPr="00284343">
        <w:rPr>
          <w:rFonts w:cstheme="minorHAnsi"/>
        </w:rPr>
        <w:t xml:space="preserve">. </w:t>
      </w:r>
    </w:p>
    <w:p w14:paraId="2DFC9FD5" w14:textId="77777777" w:rsidR="00284343" w:rsidRDefault="00284343" w:rsidP="00512F3B">
      <w:pPr>
        <w:rPr>
          <w:rFonts w:cstheme="minorHAnsi"/>
          <w:b/>
          <w:bCs/>
          <w:i/>
          <w:lang w:eastAsia="en-GB"/>
        </w:rPr>
      </w:pPr>
    </w:p>
    <w:p w14:paraId="33F1206C" w14:textId="09D43B89" w:rsidR="00512F3B" w:rsidRPr="0000534D" w:rsidRDefault="00512F3B" w:rsidP="00512F3B">
      <w:pPr>
        <w:rPr>
          <w:rFonts w:cstheme="minorHAnsi"/>
          <w:i/>
        </w:rPr>
      </w:pPr>
      <w:r w:rsidRPr="0000534D">
        <w:rPr>
          <w:rFonts w:cstheme="minorHAnsi"/>
          <w:b/>
          <w:bCs/>
          <w:i/>
          <w:lang w:eastAsia="en-GB"/>
        </w:rPr>
        <w:t>Terms and Conditions Working Group Update</w:t>
      </w:r>
    </w:p>
    <w:p w14:paraId="4388E2B6" w14:textId="77777777" w:rsidR="0000534D" w:rsidRPr="0000534D" w:rsidRDefault="00512F3B" w:rsidP="00512F3B">
      <w:pPr>
        <w:rPr>
          <w:rFonts w:cstheme="minorHAnsi"/>
          <w:lang w:eastAsia="en-GB"/>
        </w:rPr>
      </w:pPr>
      <w:r w:rsidRPr="0000534D">
        <w:rPr>
          <w:rFonts w:cstheme="minorHAnsi"/>
          <w:lang w:eastAsia="en-GB"/>
        </w:rPr>
        <w:t xml:space="preserve">It was noted a defined definition of Mental Health First Aiders has been developed and agreed by the Terms and Conditions Working Group (previously shared with CES at its Business Meeting in May 2024).  It was agreed this is ready to be issued and the staff side requested that this is issued as a National Agreement as it is a baseline document, and many colleges are doing much more than is set out in it.  </w:t>
      </w:r>
    </w:p>
    <w:p w14:paraId="72204158" w14:textId="3829D48B" w:rsidR="00512F3B" w:rsidRPr="0000534D" w:rsidRDefault="00512F3B" w:rsidP="00512F3B">
      <w:pPr>
        <w:rPr>
          <w:rFonts w:cstheme="minorHAnsi"/>
        </w:rPr>
      </w:pPr>
      <w:r w:rsidRPr="0000534D">
        <w:rPr>
          <w:rFonts w:cstheme="minorHAnsi"/>
          <w:lang w:eastAsia="en-GB"/>
        </w:rPr>
        <w:t xml:space="preserve">CES </w:t>
      </w:r>
      <w:r w:rsidR="0000534D" w:rsidRPr="0000534D">
        <w:rPr>
          <w:rFonts w:cstheme="minorHAnsi"/>
          <w:lang w:eastAsia="en-GB"/>
        </w:rPr>
        <w:t xml:space="preserve">subsequently </w:t>
      </w:r>
      <w:r w:rsidRPr="0000534D">
        <w:rPr>
          <w:rFonts w:cstheme="minorHAnsi"/>
          <w:lang w:eastAsia="en-GB"/>
        </w:rPr>
        <w:t>consider</w:t>
      </w:r>
      <w:r w:rsidR="0000534D" w:rsidRPr="0000534D">
        <w:rPr>
          <w:rFonts w:cstheme="minorHAnsi"/>
          <w:lang w:eastAsia="en-GB"/>
        </w:rPr>
        <w:t>ed</w:t>
      </w:r>
      <w:r w:rsidRPr="0000534D">
        <w:rPr>
          <w:rFonts w:cstheme="minorHAnsi"/>
          <w:lang w:eastAsia="en-GB"/>
        </w:rPr>
        <w:t xml:space="preserve"> this at its Business Meeting in November 2024</w:t>
      </w:r>
      <w:r w:rsidR="0000534D" w:rsidRPr="0000534D">
        <w:rPr>
          <w:rFonts w:cstheme="minorHAnsi"/>
          <w:lang w:eastAsia="en-GB"/>
        </w:rPr>
        <w:t xml:space="preserve"> and will provide further feedback to the working group.</w:t>
      </w:r>
    </w:p>
    <w:p w14:paraId="72C515D7" w14:textId="33209A91" w:rsidR="00512F3B" w:rsidRPr="0078685F" w:rsidRDefault="00512F3B" w:rsidP="00512F3B">
      <w:pPr>
        <w:rPr>
          <w:rFonts w:cstheme="minorHAnsi"/>
          <w:i/>
        </w:rPr>
      </w:pPr>
      <w:r w:rsidRPr="0078685F">
        <w:rPr>
          <w:rFonts w:cstheme="minorHAnsi"/>
          <w:b/>
          <w:bCs/>
          <w:i/>
          <w:lang w:eastAsia="en-GB"/>
        </w:rPr>
        <w:t>Facilities Time</w:t>
      </w:r>
    </w:p>
    <w:p w14:paraId="48A1E750" w14:textId="77777777" w:rsidR="0078685F" w:rsidRPr="0078685F" w:rsidRDefault="00512F3B" w:rsidP="00512F3B">
      <w:pPr>
        <w:rPr>
          <w:rFonts w:cstheme="minorHAnsi"/>
          <w:lang w:eastAsia="en-GB"/>
        </w:rPr>
      </w:pPr>
      <w:r w:rsidRPr="0078685F">
        <w:rPr>
          <w:rFonts w:cstheme="minorHAnsi"/>
          <w:lang w:eastAsia="en-GB"/>
        </w:rPr>
        <w:t xml:space="preserve">UNISON raised potential issues arising from Facilities Time due to recent changes made with individual release arrangements, and sought flexibility from the sector.  </w:t>
      </w:r>
    </w:p>
    <w:p w14:paraId="1DBFD7E8" w14:textId="46FC4B45" w:rsidR="0078685F" w:rsidRPr="0078685F" w:rsidRDefault="0078685F" w:rsidP="0078685F">
      <w:pPr>
        <w:pStyle w:val="Default"/>
        <w:rPr>
          <w:rFonts w:asciiTheme="minorHAnsi" w:hAnsiTheme="minorHAnsi" w:cstheme="minorHAnsi"/>
          <w:color w:val="auto"/>
          <w:sz w:val="22"/>
          <w:szCs w:val="22"/>
        </w:rPr>
      </w:pPr>
      <w:r w:rsidRPr="0078685F">
        <w:rPr>
          <w:rFonts w:asciiTheme="minorHAnsi" w:hAnsiTheme="minorHAnsi" w:cstheme="minorHAnsi"/>
          <w:color w:val="auto"/>
          <w:sz w:val="22"/>
          <w:szCs w:val="22"/>
          <w:lang w:eastAsia="en-GB"/>
        </w:rPr>
        <w:t xml:space="preserve">At its subsequent </w:t>
      </w:r>
      <w:r w:rsidR="00512F3B" w:rsidRPr="0078685F">
        <w:rPr>
          <w:rFonts w:asciiTheme="minorHAnsi" w:hAnsiTheme="minorHAnsi" w:cstheme="minorHAnsi"/>
          <w:color w:val="auto"/>
          <w:sz w:val="22"/>
          <w:szCs w:val="22"/>
          <w:lang w:eastAsia="en-GB"/>
        </w:rPr>
        <w:t>meetings in October and November 2024</w:t>
      </w:r>
      <w:r w:rsidRPr="0078685F">
        <w:rPr>
          <w:rFonts w:asciiTheme="minorHAnsi" w:hAnsiTheme="minorHAnsi" w:cstheme="minorHAnsi"/>
          <w:color w:val="auto"/>
          <w:sz w:val="22"/>
          <w:szCs w:val="22"/>
          <w:lang w:eastAsia="en-GB"/>
        </w:rPr>
        <w:t>, CES agreed the proposal of re-allocated</w:t>
      </w:r>
      <w:r>
        <w:rPr>
          <w:rFonts w:asciiTheme="minorHAnsi" w:hAnsiTheme="minorHAnsi" w:cstheme="minorHAnsi"/>
          <w:color w:val="auto"/>
          <w:sz w:val="22"/>
          <w:szCs w:val="22"/>
          <w:lang w:eastAsia="en-GB"/>
        </w:rPr>
        <w:t xml:space="preserve"> </w:t>
      </w:r>
      <w:proofErr w:type="gramStart"/>
      <w:r>
        <w:rPr>
          <w:rFonts w:asciiTheme="minorHAnsi" w:hAnsiTheme="minorHAnsi" w:cstheme="minorHAnsi"/>
          <w:color w:val="auto"/>
          <w:sz w:val="22"/>
          <w:szCs w:val="22"/>
          <w:lang w:eastAsia="en-GB"/>
        </w:rPr>
        <w:t>hours</w:t>
      </w:r>
      <w:r w:rsidRPr="0078685F">
        <w:rPr>
          <w:rFonts w:asciiTheme="minorHAnsi" w:hAnsiTheme="minorHAnsi" w:cstheme="minorHAnsi"/>
          <w:color w:val="auto"/>
          <w:sz w:val="22"/>
          <w:szCs w:val="22"/>
          <w:lang w:eastAsia="en-GB"/>
        </w:rPr>
        <w:t xml:space="preserve"> </w:t>
      </w:r>
      <w:r w:rsidRPr="0078685F">
        <w:rPr>
          <w:rFonts w:asciiTheme="minorHAnsi" w:hAnsiTheme="minorHAnsi" w:cstheme="minorHAnsi"/>
          <w:color w:val="auto"/>
          <w:sz w:val="22"/>
          <w:szCs w:val="22"/>
        </w:rPr>
        <w:t xml:space="preserve"> in</w:t>
      </w:r>
      <w:proofErr w:type="gramEnd"/>
      <w:r w:rsidRPr="0078685F">
        <w:rPr>
          <w:rFonts w:asciiTheme="minorHAnsi" w:hAnsiTheme="minorHAnsi" w:cstheme="minorHAnsi"/>
          <w:color w:val="auto"/>
          <w:sz w:val="22"/>
          <w:szCs w:val="22"/>
        </w:rPr>
        <w:t xml:space="preserve"> Academic Year 2024/25  and noted the impact this may have on some colleges from February 2025. </w:t>
      </w:r>
    </w:p>
    <w:p w14:paraId="75F56165" w14:textId="27710B5D" w:rsidR="00512F3B" w:rsidRPr="0078685F" w:rsidRDefault="00512F3B" w:rsidP="00512F3B">
      <w:pPr>
        <w:rPr>
          <w:rFonts w:cstheme="minorHAnsi"/>
          <w:color w:val="FF0000"/>
        </w:rPr>
      </w:pPr>
    </w:p>
    <w:p w14:paraId="46EA83AA" w14:textId="0E3E90A2" w:rsidR="00512F3B" w:rsidRPr="007D677F" w:rsidRDefault="00512F3B" w:rsidP="00512F3B">
      <w:pPr>
        <w:rPr>
          <w:rFonts w:cstheme="minorHAnsi"/>
          <w:i/>
        </w:rPr>
      </w:pPr>
      <w:r w:rsidRPr="007D677F">
        <w:rPr>
          <w:rFonts w:cstheme="minorHAnsi"/>
          <w:i/>
          <w:lang w:eastAsia="en-GB"/>
        </w:rPr>
        <w:t> </w:t>
      </w:r>
      <w:r w:rsidRPr="007D677F">
        <w:rPr>
          <w:rFonts w:cstheme="minorHAnsi"/>
          <w:b/>
          <w:bCs/>
          <w:i/>
          <w:lang w:eastAsia="en-GB"/>
        </w:rPr>
        <w:t>Job Security</w:t>
      </w:r>
    </w:p>
    <w:p w14:paraId="37285685" w14:textId="2F81D646" w:rsidR="00512F3B" w:rsidRPr="00512F3B" w:rsidRDefault="00512F3B" w:rsidP="00512F3B">
      <w:pPr>
        <w:rPr>
          <w:rFonts w:cstheme="minorHAnsi"/>
        </w:rPr>
      </w:pPr>
      <w:r w:rsidRPr="00512F3B">
        <w:rPr>
          <w:rFonts w:cstheme="minorHAnsi"/>
          <w:lang w:eastAsia="en-GB"/>
        </w:rPr>
        <w:t xml:space="preserve">UNISON raised concerns about the pace of progress around the issue of Job Security.  It was noted by the management side that a Job Security Working Group Terms of Reference has been agreed and a schedule </w:t>
      </w:r>
      <w:r w:rsidRPr="00512F3B">
        <w:rPr>
          <w:rFonts w:cstheme="minorHAnsi"/>
          <w:lang w:eastAsia="en-GB"/>
        </w:rPr>
        <w:lastRenderedPageBreak/>
        <w:t>of meetings will be developed for this working group.  The management side also noted that a draft National Consultation Standards document was originally shared with the staff side in February 2024</w:t>
      </w:r>
      <w:r w:rsidR="0078685F">
        <w:rPr>
          <w:rFonts w:cstheme="minorHAnsi"/>
          <w:lang w:eastAsia="en-GB"/>
        </w:rPr>
        <w:t>.</w:t>
      </w:r>
      <w:r w:rsidRPr="00512F3B">
        <w:rPr>
          <w:rFonts w:cstheme="minorHAnsi"/>
          <w:lang w:eastAsia="en-GB"/>
        </w:rPr>
        <w:t xml:space="preserve">  </w:t>
      </w:r>
    </w:p>
    <w:p w14:paraId="0A55FAA7" w14:textId="77777777" w:rsidR="00512F3B" w:rsidRDefault="00512F3B" w:rsidP="005E0B07">
      <w:pPr>
        <w:rPr>
          <w:rFonts w:cstheme="minorHAnsi"/>
          <w:b/>
          <w:bCs/>
          <w:i/>
          <w:lang w:eastAsia="en-GB"/>
        </w:rPr>
      </w:pPr>
    </w:p>
    <w:bookmarkEnd w:id="0"/>
    <w:p w14:paraId="15F5780C" w14:textId="0055ECF1" w:rsidR="002A7369" w:rsidRPr="004E0E0E" w:rsidRDefault="0000534D" w:rsidP="002A7369">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w:t>
      </w:r>
      <w:r w:rsidR="002A7369" w:rsidRPr="004E0E0E">
        <w:rPr>
          <w:rFonts w:asciiTheme="minorHAnsi" w:hAnsiTheme="minorHAnsi" w:cstheme="minorHAnsi"/>
          <w:b/>
          <w:color w:val="auto"/>
          <w:sz w:val="22"/>
          <w:szCs w:val="22"/>
        </w:rPr>
        <w:t>.</w:t>
      </w:r>
      <w:r w:rsidR="005E0B07">
        <w:rPr>
          <w:rFonts w:asciiTheme="minorHAnsi" w:hAnsiTheme="minorHAnsi" w:cstheme="minorHAnsi"/>
          <w:b/>
          <w:color w:val="auto"/>
          <w:sz w:val="22"/>
          <w:szCs w:val="22"/>
        </w:rPr>
        <w:t>2</w:t>
      </w:r>
      <w:r w:rsidR="002A7369" w:rsidRPr="004E0E0E">
        <w:rPr>
          <w:rFonts w:asciiTheme="minorHAnsi" w:hAnsiTheme="minorHAnsi" w:cstheme="minorHAnsi"/>
          <w:b/>
          <w:color w:val="auto"/>
          <w:sz w:val="22"/>
          <w:szCs w:val="22"/>
        </w:rPr>
        <w:tab/>
      </w:r>
      <w:r w:rsidR="002A7369" w:rsidRPr="004E0E0E">
        <w:rPr>
          <w:rFonts w:asciiTheme="minorHAnsi" w:hAnsiTheme="minorHAnsi" w:cstheme="minorHAnsi"/>
          <w:b/>
          <w:color w:val="auto"/>
          <w:sz w:val="22"/>
          <w:szCs w:val="22"/>
          <w:u w:val="single"/>
        </w:rPr>
        <w:t>National Bargaining Update – NJNC Side Table (Lecturing)</w:t>
      </w:r>
    </w:p>
    <w:p w14:paraId="050B2DDE" w14:textId="49D717C4" w:rsidR="002A7369" w:rsidRDefault="002A7369" w:rsidP="00294A42">
      <w:pPr>
        <w:pStyle w:val="BodyText"/>
        <w:rPr>
          <w:rFonts w:asciiTheme="minorHAnsi" w:hAnsiTheme="minorHAnsi"/>
          <w:b/>
          <w:i/>
          <w:sz w:val="22"/>
          <w:szCs w:val="22"/>
        </w:rPr>
      </w:pPr>
      <w:r w:rsidRPr="00294A42">
        <w:rPr>
          <w:rFonts w:asciiTheme="minorHAnsi" w:hAnsiTheme="minorHAnsi"/>
          <w:b/>
          <w:i/>
          <w:sz w:val="22"/>
          <w:szCs w:val="22"/>
        </w:rPr>
        <w:t xml:space="preserve">Pay Claim </w:t>
      </w:r>
    </w:p>
    <w:p w14:paraId="24B66985" w14:textId="2F742983" w:rsidR="00A85A06" w:rsidRPr="00A85A06" w:rsidRDefault="00A85A06" w:rsidP="00A85A06">
      <w:pPr>
        <w:rPr>
          <w:rFonts w:cstheme="minorHAnsi"/>
        </w:rPr>
      </w:pPr>
      <w:r w:rsidRPr="00A85A06">
        <w:rPr>
          <w:rFonts w:cstheme="minorHAnsi"/>
          <w:color w:val="000000"/>
        </w:rPr>
        <w:t>The National Joint Negotiating Committee (NJNC) – Side Table (Lecturing) met on 3</w:t>
      </w:r>
      <w:r w:rsidRPr="00A85A06">
        <w:rPr>
          <w:rFonts w:cstheme="minorHAnsi"/>
          <w:color w:val="000000"/>
          <w:vertAlign w:val="superscript"/>
        </w:rPr>
        <w:t>rd</w:t>
      </w:r>
      <w:r w:rsidRPr="00A85A06">
        <w:rPr>
          <w:rFonts w:cstheme="minorHAnsi"/>
          <w:color w:val="000000"/>
        </w:rPr>
        <w:t xml:space="preserve"> September 2024 </w:t>
      </w:r>
      <w:r w:rsidRPr="00A85A06">
        <w:rPr>
          <w:rFonts w:cstheme="minorHAnsi"/>
        </w:rPr>
        <w:t xml:space="preserve">to formally ratify the pay offer. At the meeting, the EIS-FELA confirmed that following a ballot of its members, the pay offer was overwhelmingly accepted.  </w:t>
      </w:r>
    </w:p>
    <w:p w14:paraId="43FC0B75" w14:textId="3916B596" w:rsidR="00A85A06" w:rsidRPr="007D677F" w:rsidRDefault="00A85A06" w:rsidP="00A85A06">
      <w:pPr>
        <w:rPr>
          <w:rFonts w:cstheme="minorHAnsi"/>
        </w:rPr>
      </w:pPr>
      <w:r w:rsidRPr="0090478F">
        <w:rPr>
          <w:rFonts w:cstheme="minorHAnsi"/>
        </w:rPr>
        <w:t xml:space="preserve">The </w:t>
      </w:r>
      <w:r>
        <w:rPr>
          <w:rFonts w:cstheme="minorHAnsi"/>
        </w:rPr>
        <w:t>Lecturing</w:t>
      </w:r>
      <w:r w:rsidRPr="0090478F">
        <w:rPr>
          <w:rFonts w:cstheme="minorHAnsi"/>
        </w:rPr>
        <w:t xml:space="preserve"> Staff Side Secretary subsequently confirmed on behalf of </w:t>
      </w:r>
      <w:r>
        <w:rPr>
          <w:rFonts w:cstheme="minorHAnsi"/>
        </w:rPr>
        <w:t>the EIS-FELA</w:t>
      </w:r>
      <w:r w:rsidRPr="0090478F">
        <w:rPr>
          <w:rFonts w:cstheme="minorHAnsi"/>
        </w:rPr>
        <w:t xml:space="preserve"> acceptance of the Pay Offer 2022 – 2</w:t>
      </w:r>
      <w:r>
        <w:rPr>
          <w:rFonts w:cstheme="minorHAnsi"/>
        </w:rPr>
        <w:t>6</w:t>
      </w:r>
      <w:r w:rsidRPr="0090478F">
        <w:rPr>
          <w:rFonts w:cstheme="minorHAnsi"/>
        </w:rPr>
        <w:t xml:space="preserve"> as outlined in </w:t>
      </w:r>
      <w:r w:rsidRPr="0090478F">
        <w:rPr>
          <w:rFonts w:cstheme="minorHAnsi"/>
          <w:b/>
          <w:bCs/>
        </w:rPr>
        <w:t>Circular ST</w:t>
      </w:r>
      <w:r>
        <w:rPr>
          <w:rFonts w:cstheme="minorHAnsi"/>
          <w:b/>
          <w:bCs/>
        </w:rPr>
        <w:t>L</w:t>
      </w:r>
      <w:r w:rsidRPr="0090478F">
        <w:rPr>
          <w:rFonts w:cstheme="minorHAnsi"/>
          <w:b/>
          <w:bCs/>
        </w:rPr>
        <w:t xml:space="preserve"> 0</w:t>
      </w:r>
      <w:r>
        <w:rPr>
          <w:rFonts w:cstheme="minorHAnsi"/>
          <w:b/>
          <w:bCs/>
        </w:rPr>
        <w:t>3</w:t>
      </w:r>
      <w:r w:rsidRPr="0090478F">
        <w:rPr>
          <w:rFonts w:cstheme="minorHAnsi"/>
          <w:b/>
          <w:bCs/>
        </w:rPr>
        <w:t xml:space="preserve">/24 – </w:t>
      </w:r>
      <w:r>
        <w:rPr>
          <w:rFonts w:cstheme="minorHAnsi"/>
          <w:b/>
          <w:bCs/>
        </w:rPr>
        <w:t>Lecturing</w:t>
      </w:r>
      <w:r w:rsidRPr="0090478F">
        <w:rPr>
          <w:rFonts w:cstheme="minorHAnsi"/>
          <w:b/>
          <w:bCs/>
        </w:rPr>
        <w:t xml:space="preserve"> Staff Pay</w:t>
      </w:r>
      <w:r>
        <w:rPr>
          <w:rFonts w:cstheme="minorHAnsi"/>
          <w:b/>
          <w:bCs/>
        </w:rPr>
        <w:t xml:space="preserve"> </w:t>
      </w:r>
      <w:r w:rsidRPr="0090478F">
        <w:rPr>
          <w:rFonts w:cstheme="minorHAnsi"/>
          <w:b/>
          <w:bCs/>
        </w:rPr>
        <w:t>Agreement 1 September 2022 – 31 August 202</w:t>
      </w:r>
      <w:r>
        <w:rPr>
          <w:rFonts w:cstheme="minorHAnsi"/>
          <w:b/>
          <w:bCs/>
        </w:rPr>
        <w:t>6 (Appendix 1)</w:t>
      </w:r>
      <w:r w:rsidRPr="0090478F">
        <w:rPr>
          <w:rFonts w:cstheme="minorHAnsi"/>
          <w:b/>
          <w:bCs/>
        </w:rPr>
        <w:t xml:space="preserve">. </w:t>
      </w:r>
      <w:r w:rsidRPr="0090478F">
        <w:rPr>
          <w:rFonts w:cstheme="minorHAnsi"/>
          <w:bCs/>
        </w:rPr>
        <w:t>Th</w:t>
      </w:r>
      <w:r w:rsidRPr="0090478F">
        <w:rPr>
          <w:rFonts w:cstheme="minorHAnsi"/>
          <w:color w:val="000000"/>
        </w:rPr>
        <w:t xml:space="preserve">e Circular </w:t>
      </w:r>
      <w:r>
        <w:rPr>
          <w:rFonts w:cstheme="minorHAnsi"/>
          <w:color w:val="000000"/>
        </w:rPr>
        <w:t>w</w:t>
      </w:r>
      <w:r w:rsidRPr="0090478F">
        <w:rPr>
          <w:rFonts w:cstheme="minorHAnsi"/>
          <w:color w:val="000000"/>
        </w:rPr>
        <w:t xml:space="preserve">as </w:t>
      </w:r>
      <w:r>
        <w:rPr>
          <w:rFonts w:cstheme="minorHAnsi"/>
          <w:color w:val="000000"/>
        </w:rPr>
        <w:t xml:space="preserve">formally </w:t>
      </w:r>
      <w:r w:rsidRPr="0090478F">
        <w:rPr>
          <w:rFonts w:cstheme="minorHAnsi"/>
          <w:color w:val="000000"/>
        </w:rPr>
        <w:t>agreed between the Joint Secretaries</w:t>
      </w:r>
      <w:r>
        <w:rPr>
          <w:rFonts w:cstheme="minorHAnsi"/>
          <w:color w:val="000000"/>
        </w:rPr>
        <w:t xml:space="preserve"> on 3</w:t>
      </w:r>
      <w:r w:rsidRPr="00A85A06">
        <w:rPr>
          <w:rFonts w:cstheme="minorHAnsi"/>
          <w:color w:val="000000"/>
          <w:vertAlign w:val="superscript"/>
        </w:rPr>
        <w:t>rd</w:t>
      </w:r>
      <w:r>
        <w:rPr>
          <w:rFonts w:cstheme="minorHAnsi"/>
          <w:color w:val="000000"/>
        </w:rPr>
        <w:t xml:space="preserve"> </w:t>
      </w:r>
      <w:r w:rsidRPr="007D677F">
        <w:rPr>
          <w:rFonts w:cstheme="minorHAnsi"/>
          <w:color w:val="000000"/>
        </w:rPr>
        <w:t>September 2024.</w:t>
      </w:r>
    </w:p>
    <w:p w14:paraId="4000F9E5" w14:textId="77777777" w:rsidR="007D677F" w:rsidRPr="007D677F" w:rsidRDefault="007D677F" w:rsidP="007D677F">
      <w:pPr>
        <w:rPr>
          <w:rFonts w:cstheme="minorHAnsi"/>
        </w:rPr>
      </w:pPr>
    </w:p>
    <w:p w14:paraId="004E0F1A" w14:textId="08201521" w:rsidR="007D677F" w:rsidRPr="007D677F" w:rsidRDefault="007D677F" w:rsidP="007D677F">
      <w:pPr>
        <w:rPr>
          <w:rFonts w:cstheme="minorHAnsi"/>
        </w:rPr>
      </w:pPr>
      <w:r w:rsidRPr="007D677F">
        <w:rPr>
          <w:rFonts w:cstheme="minorHAnsi"/>
        </w:rPr>
        <w:t xml:space="preserve">The NJNC – Side Table (Lecturing) met </w:t>
      </w:r>
      <w:r>
        <w:rPr>
          <w:rFonts w:cstheme="minorHAnsi"/>
        </w:rPr>
        <w:t>on 12</w:t>
      </w:r>
      <w:r w:rsidRPr="007D677F">
        <w:rPr>
          <w:rFonts w:cstheme="minorHAnsi"/>
          <w:vertAlign w:val="superscript"/>
        </w:rPr>
        <w:t>th</w:t>
      </w:r>
      <w:r>
        <w:rPr>
          <w:rFonts w:cstheme="minorHAnsi"/>
        </w:rPr>
        <w:t xml:space="preserve"> September 2024</w:t>
      </w:r>
      <w:r w:rsidRPr="007D677F">
        <w:rPr>
          <w:rFonts w:cstheme="minorHAnsi"/>
        </w:rPr>
        <w:t>.  An update on key items discussed is set out below:</w:t>
      </w:r>
    </w:p>
    <w:p w14:paraId="757D75E8" w14:textId="33AF30DA" w:rsidR="007D677F" w:rsidRPr="007D677F" w:rsidRDefault="007D677F" w:rsidP="007D677F">
      <w:pPr>
        <w:rPr>
          <w:rFonts w:cstheme="minorHAnsi"/>
          <w:i/>
        </w:rPr>
      </w:pPr>
      <w:r w:rsidRPr="007D677F">
        <w:rPr>
          <w:rFonts w:cstheme="minorHAnsi"/>
          <w:i/>
        </w:rPr>
        <w:t> </w:t>
      </w:r>
      <w:r w:rsidRPr="007D677F">
        <w:rPr>
          <w:rFonts w:cstheme="minorHAnsi"/>
          <w:b/>
          <w:bCs/>
          <w:i/>
        </w:rPr>
        <w:t>Implementation of Circulars 04/18 and 02/21</w:t>
      </w:r>
    </w:p>
    <w:p w14:paraId="3A1D92B2" w14:textId="19EFA5BA" w:rsidR="007D677F" w:rsidRPr="007D677F" w:rsidRDefault="007D677F" w:rsidP="007D677F">
      <w:pPr>
        <w:rPr>
          <w:rFonts w:cstheme="minorHAnsi"/>
        </w:rPr>
      </w:pPr>
      <w:r w:rsidRPr="0000534D">
        <w:rPr>
          <w:rFonts w:cstheme="minorHAnsi"/>
          <w:b/>
          <w:bCs/>
        </w:rPr>
        <w:t> </w:t>
      </w:r>
      <w:r w:rsidRPr="0000534D">
        <w:rPr>
          <w:rFonts w:cstheme="minorHAnsi"/>
        </w:rPr>
        <w:t xml:space="preserve">It was noted that, as part of the 2022/26 Pay Agreement, it was agreed to ensure full implementation of Circular 04/18 – </w:t>
      </w:r>
      <w:r w:rsidRPr="0000534D">
        <w:rPr>
          <w:rFonts w:cstheme="minorHAnsi"/>
          <w:i/>
          <w:iCs/>
        </w:rPr>
        <w:t>Transfer to Permanency</w:t>
      </w:r>
      <w:r w:rsidRPr="0000534D">
        <w:rPr>
          <w:rFonts w:cstheme="minorHAnsi"/>
        </w:rPr>
        <w:t xml:space="preserve"> and Circular 02/21 – </w:t>
      </w:r>
      <w:r w:rsidRPr="0000534D">
        <w:rPr>
          <w:rFonts w:cstheme="minorHAnsi"/>
          <w:i/>
          <w:iCs/>
        </w:rPr>
        <w:t>Lecturing Staff National Dispute Resolution</w:t>
      </w:r>
      <w:r w:rsidRPr="0000534D">
        <w:rPr>
          <w:rFonts w:cstheme="minorHAnsi"/>
        </w:rPr>
        <w:t xml:space="preserve"> </w:t>
      </w:r>
      <w:r w:rsidRPr="007D677F">
        <w:rPr>
          <w:rFonts w:cstheme="minorHAnsi"/>
        </w:rPr>
        <w:t>which implements the agreed resolution to the national dispute raised by the EIS-FELA regarding the use of tutor/assessor/instructors, as agreed by the NJNC – Side Table (Lecturing) in June 2021.</w:t>
      </w:r>
    </w:p>
    <w:p w14:paraId="3795B6BD" w14:textId="20692C03" w:rsidR="007D677F" w:rsidRDefault="007D677F" w:rsidP="007D677F">
      <w:pPr>
        <w:rPr>
          <w:rFonts w:cstheme="minorHAnsi"/>
        </w:rPr>
      </w:pPr>
      <w:r w:rsidRPr="007D677F">
        <w:rPr>
          <w:rFonts w:cstheme="minorHAnsi"/>
        </w:rPr>
        <w:t xml:space="preserve">To progress this, it was agreed to establish a Short Life Working Group that will initially focus on Circular 04/18, after which the group will also review Circular 02/21.  </w:t>
      </w:r>
    </w:p>
    <w:p w14:paraId="0A02D3A2" w14:textId="4C9C5A20" w:rsidR="007D677F" w:rsidRPr="007D677F" w:rsidRDefault="007D677F" w:rsidP="007D677F">
      <w:pPr>
        <w:rPr>
          <w:rFonts w:cstheme="minorHAnsi"/>
          <w:i/>
        </w:rPr>
      </w:pPr>
      <w:r w:rsidRPr="007D677F">
        <w:rPr>
          <w:rFonts w:cstheme="minorHAnsi"/>
          <w:b/>
          <w:bCs/>
          <w:i/>
        </w:rPr>
        <w:t>Hybrid Working and Learning Practices Working Group</w:t>
      </w:r>
    </w:p>
    <w:p w14:paraId="567464BA" w14:textId="10AFB20F" w:rsidR="007D677F" w:rsidRPr="007D677F" w:rsidRDefault="007D677F" w:rsidP="007D677F">
      <w:pPr>
        <w:rPr>
          <w:rFonts w:cstheme="minorHAnsi"/>
        </w:rPr>
      </w:pPr>
      <w:r w:rsidRPr="007D677F">
        <w:rPr>
          <w:rFonts w:cstheme="minorHAnsi"/>
        </w:rPr>
        <w:t xml:space="preserve">It was noted that progress on this working group has been </w:t>
      </w:r>
      <w:r w:rsidR="0000534D">
        <w:rPr>
          <w:rFonts w:cstheme="minorHAnsi"/>
        </w:rPr>
        <w:t>paus</w:t>
      </w:r>
      <w:r w:rsidRPr="007D677F">
        <w:rPr>
          <w:rFonts w:cstheme="minorHAnsi"/>
        </w:rPr>
        <w:t>ed due to workload and other priorities for the EIS-FELA.  </w:t>
      </w:r>
    </w:p>
    <w:p w14:paraId="4A490E62" w14:textId="3F329360" w:rsidR="007D677F" w:rsidRDefault="007D677F" w:rsidP="007D677F">
      <w:pPr>
        <w:rPr>
          <w:rFonts w:cstheme="minorHAnsi"/>
        </w:rPr>
      </w:pPr>
      <w:r w:rsidRPr="007D677F">
        <w:rPr>
          <w:rFonts w:cstheme="minorHAnsi"/>
        </w:rPr>
        <w:t> </w:t>
      </w:r>
    </w:p>
    <w:p w14:paraId="25E1C982" w14:textId="0203860D" w:rsidR="007D677F" w:rsidRPr="004E0E0E" w:rsidRDefault="0000534D" w:rsidP="007D677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w:t>
      </w:r>
      <w:r w:rsidR="007D677F" w:rsidRPr="004E0E0E">
        <w:rPr>
          <w:rFonts w:asciiTheme="minorHAnsi" w:hAnsiTheme="minorHAnsi" w:cstheme="minorHAnsi"/>
          <w:b/>
          <w:color w:val="auto"/>
          <w:sz w:val="22"/>
          <w:szCs w:val="22"/>
        </w:rPr>
        <w:t>.</w:t>
      </w:r>
      <w:r>
        <w:rPr>
          <w:rFonts w:asciiTheme="minorHAnsi" w:hAnsiTheme="minorHAnsi" w:cstheme="minorHAnsi"/>
          <w:b/>
          <w:color w:val="auto"/>
          <w:sz w:val="22"/>
          <w:szCs w:val="22"/>
        </w:rPr>
        <w:t>3</w:t>
      </w:r>
      <w:r w:rsidR="007D677F" w:rsidRPr="004E0E0E">
        <w:rPr>
          <w:rFonts w:asciiTheme="minorHAnsi" w:hAnsiTheme="minorHAnsi" w:cstheme="minorHAnsi"/>
          <w:b/>
          <w:color w:val="auto"/>
          <w:sz w:val="22"/>
          <w:szCs w:val="22"/>
        </w:rPr>
        <w:tab/>
      </w:r>
      <w:r w:rsidR="007D677F" w:rsidRPr="004E0E0E">
        <w:rPr>
          <w:rFonts w:asciiTheme="minorHAnsi" w:hAnsiTheme="minorHAnsi" w:cstheme="minorHAnsi"/>
          <w:b/>
          <w:color w:val="auto"/>
          <w:sz w:val="22"/>
          <w:szCs w:val="22"/>
          <w:u w:val="single"/>
        </w:rPr>
        <w:t xml:space="preserve">National Bargaining Update – NJNC </w:t>
      </w:r>
      <w:r w:rsidR="007D677F">
        <w:rPr>
          <w:rFonts w:asciiTheme="minorHAnsi" w:hAnsiTheme="minorHAnsi" w:cstheme="minorHAnsi"/>
          <w:b/>
          <w:color w:val="auto"/>
          <w:sz w:val="22"/>
          <w:szCs w:val="22"/>
          <w:u w:val="single"/>
        </w:rPr>
        <w:t>Central Committee</w:t>
      </w:r>
    </w:p>
    <w:p w14:paraId="7A857B06" w14:textId="5F874321" w:rsidR="007D677F" w:rsidRPr="007D677F" w:rsidRDefault="007D677F" w:rsidP="007D677F">
      <w:pPr>
        <w:rPr>
          <w:rFonts w:cstheme="minorHAnsi"/>
          <w:i/>
        </w:rPr>
      </w:pPr>
      <w:r w:rsidRPr="007D677F">
        <w:rPr>
          <w:rFonts w:cstheme="minorHAnsi"/>
        </w:rPr>
        <w:t>The NJNC – Central Committee also met on 12</w:t>
      </w:r>
      <w:r w:rsidRPr="007D677F">
        <w:rPr>
          <w:rFonts w:cstheme="minorHAnsi"/>
          <w:vertAlign w:val="superscript"/>
        </w:rPr>
        <w:t>th</w:t>
      </w:r>
      <w:r w:rsidRPr="007D677F">
        <w:rPr>
          <w:rFonts w:cstheme="minorHAnsi"/>
        </w:rPr>
        <w:t xml:space="preserve"> September 2024.  An update on key items discussed is set </w:t>
      </w:r>
      <w:r w:rsidRPr="007D677F">
        <w:rPr>
          <w:rFonts w:cstheme="minorHAnsi"/>
          <w:i/>
        </w:rPr>
        <w:t>out below:</w:t>
      </w:r>
    </w:p>
    <w:p w14:paraId="01A0F118" w14:textId="6327278C" w:rsidR="007D677F" w:rsidRPr="00902438" w:rsidRDefault="007D677F" w:rsidP="007D677F">
      <w:pPr>
        <w:rPr>
          <w:rFonts w:cstheme="minorHAnsi"/>
          <w:i/>
        </w:rPr>
      </w:pPr>
      <w:proofErr w:type="spellStart"/>
      <w:r w:rsidRPr="00902438">
        <w:rPr>
          <w:rFonts w:cstheme="minorHAnsi"/>
          <w:b/>
          <w:bCs/>
          <w:i/>
        </w:rPr>
        <w:t>Covid</w:t>
      </w:r>
      <w:proofErr w:type="spellEnd"/>
      <w:r w:rsidRPr="00902438">
        <w:rPr>
          <w:rFonts w:cstheme="minorHAnsi"/>
          <w:b/>
          <w:bCs/>
          <w:i/>
        </w:rPr>
        <w:t xml:space="preserve"> Circular </w:t>
      </w:r>
    </w:p>
    <w:p w14:paraId="45F94929" w14:textId="5E438662" w:rsidR="007D677F" w:rsidRPr="00902438" w:rsidRDefault="007D677F" w:rsidP="007D677F">
      <w:pPr>
        <w:rPr>
          <w:rFonts w:cstheme="minorHAnsi"/>
        </w:rPr>
      </w:pPr>
      <w:r w:rsidRPr="00902438">
        <w:rPr>
          <w:rFonts w:cstheme="minorHAnsi"/>
        </w:rPr>
        <w:t xml:space="preserve">It was agreed, at the December 2023 Central Committee, to re-negotiate </w:t>
      </w:r>
      <w:r w:rsidRPr="00902438">
        <w:rPr>
          <w:rFonts w:cstheme="minorHAnsi"/>
          <w:i/>
          <w:iCs/>
        </w:rPr>
        <w:t>Circular 01/20 – COVID-19 – Guidance on Paid Leave for Lecturing and Support Staff</w:t>
      </w:r>
      <w:r w:rsidRPr="00902438">
        <w:rPr>
          <w:rFonts w:cstheme="minorHAnsi"/>
        </w:rPr>
        <w:t xml:space="preserve"> and that this would take place over an expedited timeframe as part of a Short Life Working Group (SLWG).  </w:t>
      </w:r>
    </w:p>
    <w:p w14:paraId="07788F3D" w14:textId="34D64042" w:rsidR="007D677F" w:rsidRPr="0078685F" w:rsidRDefault="00902438" w:rsidP="00902438">
      <w:pPr>
        <w:pStyle w:val="Default"/>
        <w:rPr>
          <w:rFonts w:asciiTheme="minorHAnsi" w:hAnsiTheme="minorHAnsi" w:cstheme="minorHAnsi"/>
          <w:color w:val="FF0000"/>
        </w:rPr>
      </w:pPr>
      <w:r w:rsidRPr="0078685F">
        <w:rPr>
          <w:rFonts w:asciiTheme="minorHAnsi" w:hAnsiTheme="minorHAnsi" w:cstheme="minorHAnsi"/>
          <w:color w:val="auto"/>
          <w:sz w:val="22"/>
          <w:szCs w:val="22"/>
          <w:lang w:eastAsia="en-GB"/>
        </w:rPr>
        <w:t xml:space="preserve">At its subsequent meetings in October and November 2024, CES </w:t>
      </w:r>
      <w:r>
        <w:rPr>
          <w:rFonts w:asciiTheme="minorHAnsi" w:hAnsiTheme="minorHAnsi" w:cstheme="minorHAnsi"/>
          <w:color w:val="auto"/>
          <w:sz w:val="22"/>
          <w:szCs w:val="22"/>
          <w:lang w:eastAsia="en-GB"/>
        </w:rPr>
        <w:t>members</w:t>
      </w:r>
      <w:r>
        <w:rPr>
          <w:sz w:val="22"/>
          <w:szCs w:val="22"/>
        </w:rPr>
        <w:t xml:space="preserve"> noted that the Joint Secretaries have reviewed Circular 01/20 and following that review have drafted a new Circular – </w:t>
      </w:r>
      <w:r>
        <w:rPr>
          <w:i/>
          <w:iCs/>
          <w:sz w:val="22"/>
          <w:szCs w:val="22"/>
        </w:rPr>
        <w:t xml:space="preserve">Respiratory Infections including Coronavirus (Covid-19). </w:t>
      </w:r>
      <w:r>
        <w:rPr>
          <w:sz w:val="22"/>
          <w:szCs w:val="22"/>
        </w:rPr>
        <w:t>It is intended that, if agreed, this Circular will supersede Circular 01/20 and will provide a link to current Scottish Government guidance for all respiratory infections.</w:t>
      </w:r>
    </w:p>
    <w:p w14:paraId="26F4AD4F" w14:textId="4F8C7689" w:rsidR="00495C7F" w:rsidRDefault="00495C7F" w:rsidP="007D677F">
      <w:pPr>
        <w:rPr>
          <w:rFonts w:cstheme="minorHAnsi"/>
          <w:b/>
          <w:bCs/>
          <w:i/>
        </w:rPr>
      </w:pPr>
    </w:p>
    <w:p w14:paraId="5AAC3C89" w14:textId="1C9B3AA6" w:rsidR="00284343" w:rsidRDefault="00284343" w:rsidP="007D677F">
      <w:pPr>
        <w:rPr>
          <w:rFonts w:cstheme="minorHAnsi"/>
          <w:b/>
          <w:bCs/>
          <w:i/>
        </w:rPr>
      </w:pPr>
    </w:p>
    <w:p w14:paraId="0A25B4D8" w14:textId="77777777" w:rsidR="00284343" w:rsidRDefault="00284343" w:rsidP="007D677F">
      <w:pPr>
        <w:rPr>
          <w:rFonts w:cstheme="minorHAnsi"/>
          <w:b/>
          <w:bCs/>
          <w:i/>
        </w:rPr>
      </w:pPr>
    </w:p>
    <w:p w14:paraId="77CBFA57" w14:textId="6CF8FC51" w:rsidR="007D677F" w:rsidRPr="00902438" w:rsidRDefault="007D677F" w:rsidP="007D677F">
      <w:pPr>
        <w:rPr>
          <w:rFonts w:cstheme="minorHAnsi"/>
          <w:i/>
        </w:rPr>
      </w:pPr>
      <w:r w:rsidRPr="00902438">
        <w:rPr>
          <w:rFonts w:cstheme="minorHAnsi"/>
          <w:b/>
          <w:bCs/>
          <w:i/>
        </w:rPr>
        <w:lastRenderedPageBreak/>
        <w:t>Policy Working Group</w:t>
      </w:r>
    </w:p>
    <w:p w14:paraId="7B1583F2" w14:textId="7CA6759C" w:rsidR="007D677F" w:rsidRPr="00902438" w:rsidRDefault="007D677F" w:rsidP="007D677F">
      <w:pPr>
        <w:rPr>
          <w:rFonts w:cstheme="minorHAnsi"/>
        </w:rPr>
      </w:pPr>
      <w:r w:rsidRPr="00902438">
        <w:rPr>
          <w:rFonts w:cstheme="minorHAnsi"/>
        </w:rPr>
        <w:t xml:space="preserve">The Central Committee was updated that the Disciplinary Policy was agreed subject to final agreement at the working group.  The management side and the EIS-FELA were supportive of issuing the Policy for implementation with the model procedure to follow.  This was not supported by the full staff side.  </w:t>
      </w:r>
    </w:p>
    <w:p w14:paraId="1400E71A" w14:textId="3384049D" w:rsidR="00902438" w:rsidRPr="00902438" w:rsidRDefault="00902438" w:rsidP="00902438">
      <w:pPr>
        <w:autoSpaceDE w:val="0"/>
        <w:autoSpaceDN w:val="0"/>
        <w:adjustRightInd w:val="0"/>
        <w:spacing w:after="0" w:line="240" w:lineRule="auto"/>
        <w:rPr>
          <w:rFonts w:cstheme="minorHAnsi"/>
          <w:color w:val="000000"/>
        </w:rPr>
      </w:pPr>
      <w:r w:rsidRPr="00902438">
        <w:rPr>
          <w:rFonts w:cstheme="minorHAnsi"/>
          <w:bCs/>
          <w:color w:val="000000"/>
        </w:rPr>
        <w:t>At a subsequent Policy Working Group Meeting on 10</w:t>
      </w:r>
      <w:r w:rsidRPr="00902438">
        <w:rPr>
          <w:rFonts w:cstheme="minorHAnsi"/>
          <w:bCs/>
          <w:color w:val="000000"/>
          <w:vertAlign w:val="superscript"/>
        </w:rPr>
        <w:t>th</w:t>
      </w:r>
      <w:r w:rsidRPr="00902438">
        <w:rPr>
          <w:rFonts w:cstheme="minorHAnsi"/>
          <w:bCs/>
          <w:color w:val="000000"/>
        </w:rPr>
        <w:t xml:space="preserve"> October 2024, </w:t>
      </w:r>
      <w:r w:rsidRPr="00902438">
        <w:rPr>
          <w:rFonts w:cstheme="minorHAnsi"/>
          <w:color w:val="000000"/>
        </w:rPr>
        <w:t xml:space="preserve">it was agreed that the Policy cannot be issued separately from the Procedure. This is in keeping with the agreement of the working groups’ Terms of Reference. </w:t>
      </w:r>
    </w:p>
    <w:p w14:paraId="1DF28945" w14:textId="77777777" w:rsidR="00902438" w:rsidRPr="00902438" w:rsidRDefault="00902438" w:rsidP="00902438">
      <w:pPr>
        <w:autoSpaceDE w:val="0"/>
        <w:autoSpaceDN w:val="0"/>
        <w:adjustRightInd w:val="0"/>
        <w:spacing w:after="0" w:line="240" w:lineRule="auto"/>
        <w:rPr>
          <w:rFonts w:cstheme="minorHAnsi"/>
          <w:color w:val="000000"/>
        </w:rPr>
      </w:pPr>
    </w:p>
    <w:p w14:paraId="7A705E8C" w14:textId="3653A38C" w:rsidR="00902438" w:rsidRPr="00902438" w:rsidRDefault="00902438" w:rsidP="00902438">
      <w:pPr>
        <w:autoSpaceDE w:val="0"/>
        <w:autoSpaceDN w:val="0"/>
        <w:adjustRightInd w:val="0"/>
        <w:spacing w:after="0" w:line="240" w:lineRule="auto"/>
        <w:rPr>
          <w:rFonts w:cstheme="minorHAnsi"/>
        </w:rPr>
      </w:pPr>
      <w:r w:rsidRPr="00902438">
        <w:rPr>
          <w:rFonts w:cstheme="minorHAnsi"/>
          <w:color w:val="000000"/>
        </w:rPr>
        <w:t xml:space="preserve">The staff side indicated that they had a number of ‘red line’ areas they want to be included or changed and some other less contentious suggestions for enhancing the Procedure. It was agreed that the staff side would share this information in advance of a Disciplinary subgroup meeting for further discussion. It is anticipated that a reviewed Disciplinary Procedure will be ready for consideration at the next meeting of the working group scheduled to take place on </w:t>
      </w:r>
      <w:r w:rsidRPr="00902438">
        <w:rPr>
          <w:rFonts w:cstheme="minorHAnsi"/>
          <w:bCs/>
          <w:color w:val="000000"/>
        </w:rPr>
        <w:t>21</w:t>
      </w:r>
      <w:r>
        <w:rPr>
          <w:rFonts w:cstheme="minorHAnsi"/>
          <w:bCs/>
          <w:color w:val="000000"/>
        </w:rPr>
        <w:t>st</w:t>
      </w:r>
      <w:r w:rsidRPr="00902438">
        <w:rPr>
          <w:rFonts w:cstheme="minorHAnsi"/>
          <w:bCs/>
          <w:color w:val="000000"/>
        </w:rPr>
        <w:t xml:space="preserve"> November 2024</w:t>
      </w:r>
      <w:r w:rsidRPr="00902438">
        <w:rPr>
          <w:rFonts w:cstheme="minorHAnsi"/>
          <w:color w:val="000000"/>
        </w:rPr>
        <w:t>.</w:t>
      </w:r>
    </w:p>
    <w:p w14:paraId="0AED6450" w14:textId="77777777" w:rsidR="00902438" w:rsidRDefault="00902438" w:rsidP="007D677F">
      <w:pPr>
        <w:rPr>
          <w:rFonts w:cstheme="minorHAnsi"/>
          <w:b/>
          <w:bCs/>
          <w:i/>
        </w:rPr>
      </w:pPr>
    </w:p>
    <w:p w14:paraId="63E9807F" w14:textId="7AC5A239" w:rsidR="007D677F" w:rsidRPr="007D677F" w:rsidRDefault="007D677F" w:rsidP="007D677F">
      <w:pPr>
        <w:rPr>
          <w:rFonts w:cstheme="minorHAnsi"/>
          <w:i/>
        </w:rPr>
      </w:pPr>
      <w:r w:rsidRPr="007D677F">
        <w:rPr>
          <w:rFonts w:cstheme="minorHAnsi"/>
          <w:b/>
          <w:bCs/>
          <w:i/>
        </w:rPr>
        <w:t xml:space="preserve">Fair Work Working Group </w:t>
      </w:r>
    </w:p>
    <w:p w14:paraId="08F3CF1F" w14:textId="5319113D" w:rsidR="007D677F" w:rsidRPr="007D677F" w:rsidRDefault="007D677F" w:rsidP="007D677F">
      <w:pPr>
        <w:rPr>
          <w:rFonts w:cstheme="minorHAnsi"/>
        </w:rPr>
      </w:pPr>
      <w:r w:rsidRPr="007D677F">
        <w:rPr>
          <w:rFonts w:cstheme="minorHAnsi"/>
        </w:rPr>
        <w:t xml:space="preserve">It was noted that five of six scheduled meetings were cancelled at the request of the staff side.  The management side asked the staff side to confirm whether it wished to continue with this area of work. </w:t>
      </w:r>
    </w:p>
    <w:p w14:paraId="7E19A88F" w14:textId="28C2C555" w:rsidR="007D677F" w:rsidRPr="007D677F" w:rsidRDefault="007D677F" w:rsidP="007D677F">
      <w:pPr>
        <w:rPr>
          <w:rFonts w:cstheme="minorHAnsi"/>
        </w:rPr>
      </w:pPr>
      <w:r w:rsidRPr="007D677F">
        <w:rPr>
          <w:rFonts w:cstheme="minorHAnsi"/>
        </w:rPr>
        <w:t>The staff side view was that the sector is not Fair Work employer as there was a lack of local college policies and procedures in place.</w:t>
      </w:r>
    </w:p>
    <w:p w14:paraId="5CA87843" w14:textId="540A3CD4" w:rsidR="007D677F" w:rsidRDefault="007D677F" w:rsidP="007D677F">
      <w:pPr>
        <w:rPr>
          <w:rFonts w:cstheme="minorHAnsi"/>
        </w:rPr>
      </w:pPr>
      <w:r w:rsidRPr="007D677F">
        <w:rPr>
          <w:rFonts w:cstheme="minorHAnsi"/>
        </w:rPr>
        <w:t xml:space="preserve">The management side did not agree with this position and urged the staff side to review the Scottish </w:t>
      </w:r>
      <w:r w:rsidRPr="00902438">
        <w:rPr>
          <w:rFonts w:cstheme="minorHAnsi"/>
        </w:rPr>
        <w:t>Funding Council (SFC) audit on Fair Work in the sector as there are many examples of fair work and evidence was presented to SFC as part of the audit.</w:t>
      </w:r>
    </w:p>
    <w:p w14:paraId="10E8C9FF" w14:textId="1E7BF24C" w:rsidR="007D677F" w:rsidRPr="0000534D" w:rsidRDefault="007D677F" w:rsidP="007D677F">
      <w:pPr>
        <w:rPr>
          <w:rFonts w:cstheme="minorHAnsi"/>
          <w:i/>
        </w:rPr>
      </w:pPr>
      <w:r w:rsidRPr="0000534D">
        <w:rPr>
          <w:rFonts w:cstheme="minorHAnsi"/>
          <w:b/>
          <w:bCs/>
          <w:i/>
        </w:rPr>
        <w:t>Lessons Learned</w:t>
      </w:r>
    </w:p>
    <w:p w14:paraId="0062FAA2" w14:textId="618AD1CE" w:rsidR="007D677F" w:rsidRPr="0000534D" w:rsidRDefault="007D677F" w:rsidP="007D677F">
      <w:pPr>
        <w:rPr>
          <w:rFonts w:cstheme="minorHAnsi"/>
        </w:rPr>
      </w:pPr>
      <w:r w:rsidRPr="0000534D">
        <w:rPr>
          <w:rFonts w:cstheme="minorHAnsi"/>
        </w:rPr>
        <w:t xml:space="preserve">The Central Committee was updated that two meetings have taken place with the Minister to date.  Concerns were raised on the process for these meetings, and the time taken to get outputs from the </w:t>
      </w:r>
      <w:proofErr w:type="spellStart"/>
      <w:r w:rsidRPr="0000534D">
        <w:rPr>
          <w:rFonts w:cstheme="minorHAnsi"/>
        </w:rPr>
        <w:t>Strathesk</w:t>
      </w:r>
      <w:proofErr w:type="spellEnd"/>
      <w:r w:rsidRPr="0000534D">
        <w:rPr>
          <w:rFonts w:cstheme="minorHAnsi"/>
        </w:rPr>
        <w:t xml:space="preserve"> Lesson’s Learned report.   </w:t>
      </w:r>
    </w:p>
    <w:p w14:paraId="7035BD57" w14:textId="77777777" w:rsidR="007D677F" w:rsidRPr="0000534D" w:rsidRDefault="007D677F" w:rsidP="007D677F">
      <w:pPr>
        <w:rPr>
          <w:rFonts w:cstheme="minorHAnsi"/>
        </w:rPr>
      </w:pPr>
      <w:r w:rsidRPr="0000534D">
        <w:rPr>
          <w:rFonts w:cstheme="minorHAnsi"/>
        </w:rPr>
        <w:t xml:space="preserve">It was agreed that the Central Committee should meet to discuss this matter to look at ways that the NJNC can improve processes without waiting for the outcomes of the Ministerial meeting.  </w:t>
      </w:r>
    </w:p>
    <w:p w14:paraId="17955315" w14:textId="2CAEFE7D" w:rsidR="007D677F" w:rsidRPr="0000534D" w:rsidRDefault="007D677F" w:rsidP="007D677F">
      <w:pPr>
        <w:rPr>
          <w:rFonts w:cstheme="minorHAnsi"/>
          <w:i/>
        </w:rPr>
      </w:pPr>
      <w:r w:rsidRPr="0000534D">
        <w:rPr>
          <w:rFonts w:cstheme="minorHAnsi"/>
        </w:rPr>
        <w:t> </w:t>
      </w:r>
      <w:r w:rsidRPr="0000534D">
        <w:rPr>
          <w:rFonts w:cstheme="minorHAnsi"/>
          <w:b/>
          <w:bCs/>
          <w:i/>
        </w:rPr>
        <w:t>NJNC Protocol/Processes</w:t>
      </w:r>
    </w:p>
    <w:p w14:paraId="7D1D147B" w14:textId="65EB68E3" w:rsidR="007D677F" w:rsidRDefault="007D677F" w:rsidP="007D677F">
      <w:pPr>
        <w:rPr>
          <w:rFonts w:cstheme="minorHAnsi"/>
        </w:rPr>
      </w:pPr>
      <w:r w:rsidRPr="0000534D">
        <w:rPr>
          <w:rFonts w:cstheme="minorHAnsi"/>
        </w:rPr>
        <w:t xml:space="preserve">The Central Committee was advised that the Joint Secretaries have agreed to revisit the current NJNC protocol that has been in place since 2014.  They have also agreed to draft a Referrals Process for the Joint Secretaries to ensure all referrals follow the same process. </w:t>
      </w:r>
    </w:p>
    <w:p w14:paraId="1323A974" w14:textId="77777777" w:rsidR="00495C7F" w:rsidRDefault="00495C7F" w:rsidP="007D677F">
      <w:pPr>
        <w:rPr>
          <w:rFonts w:cstheme="minorHAnsi"/>
        </w:rPr>
      </w:pPr>
    </w:p>
    <w:p w14:paraId="254CB4E7" w14:textId="3A7B9506" w:rsidR="00495C7F" w:rsidRPr="004E0E0E" w:rsidRDefault="00495C7F" w:rsidP="00495C7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2.4</w:t>
      </w:r>
      <w:r w:rsidRPr="004E0E0E">
        <w:rPr>
          <w:rFonts w:asciiTheme="minorHAnsi" w:hAnsiTheme="minorHAnsi" w:cstheme="minorHAnsi"/>
          <w:b/>
          <w:color w:val="auto"/>
          <w:sz w:val="22"/>
          <w:szCs w:val="22"/>
        </w:rPr>
        <w:tab/>
      </w:r>
      <w:r>
        <w:rPr>
          <w:rFonts w:asciiTheme="minorHAnsi" w:hAnsiTheme="minorHAnsi" w:cstheme="minorHAnsi"/>
          <w:b/>
          <w:color w:val="auto"/>
          <w:sz w:val="22"/>
          <w:szCs w:val="22"/>
          <w:u w:val="single"/>
        </w:rPr>
        <w:t>Regional Supervision of UNISON Further Education Branch</w:t>
      </w:r>
    </w:p>
    <w:p w14:paraId="1D963444" w14:textId="7E454D7B" w:rsidR="00495C7F" w:rsidRPr="00495C7F" w:rsidRDefault="00495C7F" w:rsidP="00495C7F">
      <w:pPr>
        <w:rPr>
          <w:rFonts w:cstheme="minorHAnsi"/>
        </w:rPr>
      </w:pPr>
      <w:r w:rsidRPr="00495C7F">
        <w:rPr>
          <w:rFonts w:cstheme="minorHAnsi"/>
        </w:rPr>
        <w:t>CES was formally advised by email on 7</w:t>
      </w:r>
      <w:r w:rsidRPr="00495C7F">
        <w:rPr>
          <w:rFonts w:cstheme="minorHAnsi"/>
          <w:vertAlign w:val="superscript"/>
        </w:rPr>
        <w:t>th</w:t>
      </w:r>
      <w:r w:rsidRPr="00495C7F">
        <w:rPr>
          <w:rFonts w:cstheme="minorHAnsi"/>
        </w:rPr>
        <w:t xml:space="preserve"> November 2024 from the UNISON Regional Organiser that the UNISON Scotland Further Education Branch has been placed under regional supervision.  </w:t>
      </w:r>
    </w:p>
    <w:p w14:paraId="2B31955E" w14:textId="5F4B42BC" w:rsidR="00495C7F" w:rsidRPr="00495C7F" w:rsidRDefault="00495C7F" w:rsidP="00495C7F">
      <w:pPr>
        <w:rPr>
          <w:rFonts w:cstheme="minorHAnsi"/>
        </w:rPr>
      </w:pPr>
      <w:r w:rsidRPr="00495C7F">
        <w:rPr>
          <w:rFonts w:cstheme="minorHAnsi"/>
        </w:rPr>
        <w:t xml:space="preserve">The email also advised that the five FTE allocation for UNISON National Branch/Facilities Time, agreed by CES, has been withdrawn for the six UNISON activists released by individual colleges.  Therefore, these individuals will now return to their employing college.  A direct communication has also been sent to those employing colleges confirming this position.  </w:t>
      </w:r>
    </w:p>
    <w:p w14:paraId="2FB030BB" w14:textId="6F2CD554" w:rsidR="00BC3CF6" w:rsidRPr="007C6626" w:rsidRDefault="00346A4C" w:rsidP="00346A4C">
      <w:pPr>
        <w:pStyle w:val="Heading1"/>
        <w:numPr>
          <w:ilvl w:val="0"/>
          <w:numId w:val="0"/>
        </w:numPr>
        <w:jc w:val="both"/>
        <w:rPr>
          <w:rFonts w:asciiTheme="minorHAnsi" w:hAnsiTheme="minorHAnsi" w:cstheme="minorHAnsi"/>
          <w:b/>
          <w:color w:val="auto"/>
          <w:sz w:val="24"/>
          <w:szCs w:val="24"/>
        </w:rPr>
      </w:pPr>
      <w:bookmarkStart w:id="2" w:name="_GoBack"/>
      <w:bookmarkEnd w:id="1"/>
      <w:bookmarkEnd w:id="2"/>
      <w:r>
        <w:rPr>
          <w:rFonts w:asciiTheme="minorHAnsi" w:hAnsiTheme="minorHAnsi" w:cstheme="minorHAnsi"/>
          <w:b/>
          <w:color w:val="auto"/>
          <w:sz w:val="24"/>
          <w:szCs w:val="24"/>
        </w:rPr>
        <w:lastRenderedPageBreak/>
        <w:t xml:space="preserve">3. </w:t>
      </w:r>
      <w:r w:rsidR="00E521DC" w:rsidRPr="007C6626">
        <w:rPr>
          <w:rFonts w:asciiTheme="minorHAnsi" w:hAnsiTheme="minorHAnsi" w:cstheme="minorHAnsi"/>
          <w:b/>
          <w:color w:val="auto"/>
          <w:sz w:val="24"/>
          <w:szCs w:val="24"/>
        </w:rPr>
        <w:t>J</w:t>
      </w:r>
      <w:r w:rsidR="00BC3CF6" w:rsidRPr="007C6626">
        <w:rPr>
          <w:rFonts w:asciiTheme="minorHAnsi" w:hAnsiTheme="minorHAnsi" w:cstheme="minorHAnsi"/>
          <w:b/>
          <w:color w:val="auto"/>
          <w:sz w:val="24"/>
          <w:szCs w:val="24"/>
        </w:rPr>
        <w:t>oint Negotiating Committee Update</w:t>
      </w:r>
    </w:p>
    <w:p w14:paraId="1003460E" w14:textId="6BA8C333" w:rsidR="0092606F" w:rsidRPr="007C6626" w:rsidRDefault="00346A4C" w:rsidP="0092606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3</w:t>
      </w:r>
      <w:r w:rsidR="0092606F" w:rsidRPr="007C6626">
        <w:rPr>
          <w:rFonts w:asciiTheme="minorHAnsi" w:hAnsiTheme="minorHAnsi" w:cstheme="minorHAnsi"/>
          <w:b/>
          <w:color w:val="auto"/>
          <w:sz w:val="22"/>
          <w:szCs w:val="22"/>
        </w:rPr>
        <w:t>.1</w:t>
      </w:r>
      <w:r w:rsidR="0092606F" w:rsidRPr="007C6626">
        <w:rPr>
          <w:rFonts w:asciiTheme="minorHAnsi" w:hAnsiTheme="minorHAnsi" w:cstheme="minorHAnsi"/>
          <w:b/>
          <w:color w:val="auto"/>
          <w:sz w:val="22"/>
          <w:szCs w:val="22"/>
        </w:rPr>
        <w:tab/>
      </w:r>
      <w:r w:rsidR="00966E7E" w:rsidRPr="007C6626">
        <w:rPr>
          <w:rFonts w:asciiTheme="minorHAnsi" w:hAnsiTheme="minorHAnsi" w:cstheme="minorHAnsi"/>
          <w:b/>
          <w:color w:val="auto"/>
          <w:sz w:val="22"/>
          <w:szCs w:val="22"/>
          <w:u w:val="single"/>
        </w:rPr>
        <w:t>JNC Academic</w:t>
      </w:r>
    </w:p>
    <w:p w14:paraId="3CBD537E" w14:textId="5026BF76" w:rsidR="00347670" w:rsidRDefault="00347670" w:rsidP="00347670">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A meeting of the JNC Academic was held on </w:t>
      </w:r>
      <w:r>
        <w:rPr>
          <w:rFonts w:asciiTheme="minorHAnsi" w:hAnsiTheme="minorHAnsi" w:cstheme="minorHAnsi"/>
          <w:sz w:val="22"/>
          <w:szCs w:val="22"/>
        </w:rPr>
        <w:t>10</w:t>
      </w:r>
      <w:r w:rsidRPr="008C6696">
        <w:rPr>
          <w:rFonts w:asciiTheme="minorHAnsi" w:hAnsiTheme="minorHAnsi" w:cstheme="minorHAnsi"/>
          <w:sz w:val="22"/>
          <w:szCs w:val="22"/>
          <w:vertAlign w:val="superscript"/>
        </w:rPr>
        <w:t>th</w:t>
      </w:r>
      <w:r w:rsidRPr="008C6696">
        <w:rPr>
          <w:rFonts w:asciiTheme="minorHAnsi" w:hAnsiTheme="minorHAnsi" w:cstheme="minorHAnsi"/>
          <w:sz w:val="22"/>
          <w:szCs w:val="22"/>
        </w:rPr>
        <w:t xml:space="preserve"> </w:t>
      </w:r>
      <w:r>
        <w:rPr>
          <w:rFonts w:asciiTheme="minorHAnsi" w:hAnsiTheme="minorHAnsi" w:cstheme="minorHAnsi"/>
          <w:sz w:val="22"/>
          <w:szCs w:val="22"/>
        </w:rPr>
        <w:t>October</w:t>
      </w:r>
      <w:r w:rsidRPr="008C6696">
        <w:rPr>
          <w:rFonts w:asciiTheme="minorHAnsi" w:hAnsiTheme="minorHAnsi" w:cstheme="minorHAnsi"/>
          <w:sz w:val="22"/>
          <w:szCs w:val="22"/>
        </w:rPr>
        <w:t xml:space="preserve"> 2024.  </w:t>
      </w:r>
    </w:p>
    <w:p w14:paraId="798BEFE6" w14:textId="087F4930" w:rsidR="00347670" w:rsidRDefault="00347670" w:rsidP="00347670">
      <w:pPr>
        <w:pStyle w:val="BodyText"/>
        <w:rPr>
          <w:rFonts w:asciiTheme="minorHAnsi" w:hAnsiTheme="minorHAnsi" w:cstheme="minorHAnsi"/>
          <w:sz w:val="22"/>
          <w:szCs w:val="22"/>
        </w:rPr>
      </w:pPr>
    </w:p>
    <w:p w14:paraId="16276904" w14:textId="2EC19A15" w:rsidR="00347670" w:rsidRDefault="00347670" w:rsidP="00347670">
      <w:pPr>
        <w:pStyle w:val="BodyText"/>
        <w:rPr>
          <w:rFonts w:asciiTheme="minorHAnsi" w:hAnsiTheme="minorHAnsi" w:cstheme="minorHAnsi"/>
          <w:sz w:val="22"/>
          <w:szCs w:val="22"/>
        </w:rPr>
      </w:pPr>
      <w:r>
        <w:rPr>
          <w:rFonts w:asciiTheme="minorHAnsi" w:hAnsiTheme="minorHAnsi" w:cstheme="minorHAnsi"/>
          <w:sz w:val="22"/>
          <w:szCs w:val="22"/>
        </w:rPr>
        <w:t>Since the last JNC meeting, a number of policies have been reviewed, and have been or are about to be published, including:</w:t>
      </w:r>
    </w:p>
    <w:p w14:paraId="4DD54618" w14:textId="09EED446" w:rsidR="00347670" w:rsidRDefault="00347670" w:rsidP="00347670">
      <w:pPr>
        <w:pStyle w:val="BodyText"/>
        <w:rPr>
          <w:rFonts w:asciiTheme="minorHAnsi" w:hAnsiTheme="minorHAnsi" w:cstheme="minorHAnsi"/>
          <w:sz w:val="22"/>
          <w:szCs w:val="22"/>
        </w:rPr>
      </w:pPr>
    </w:p>
    <w:p w14:paraId="2A5234D5" w14:textId="49665DE1" w:rsidR="00347670" w:rsidRDefault="00347670" w:rsidP="00CE22D9">
      <w:pPr>
        <w:pStyle w:val="BodyText"/>
        <w:numPr>
          <w:ilvl w:val="0"/>
          <w:numId w:val="8"/>
        </w:numPr>
        <w:rPr>
          <w:rFonts w:asciiTheme="minorHAnsi" w:hAnsiTheme="minorHAnsi" w:cstheme="minorHAnsi"/>
          <w:sz w:val="22"/>
          <w:szCs w:val="22"/>
        </w:rPr>
      </w:pPr>
      <w:r>
        <w:rPr>
          <w:rFonts w:asciiTheme="minorHAnsi" w:hAnsiTheme="minorHAnsi" w:cstheme="minorHAnsi"/>
          <w:sz w:val="22"/>
          <w:szCs w:val="22"/>
        </w:rPr>
        <w:t>CCTV</w:t>
      </w:r>
    </w:p>
    <w:p w14:paraId="772C6810" w14:textId="1AC40699" w:rsidR="00347670" w:rsidRDefault="00347670" w:rsidP="00CE22D9">
      <w:pPr>
        <w:pStyle w:val="BodyText"/>
        <w:numPr>
          <w:ilvl w:val="0"/>
          <w:numId w:val="8"/>
        </w:numPr>
        <w:rPr>
          <w:rFonts w:asciiTheme="minorHAnsi" w:hAnsiTheme="minorHAnsi" w:cstheme="minorHAnsi"/>
          <w:sz w:val="22"/>
          <w:szCs w:val="22"/>
        </w:rPr>
      </w:pPr>
      <w:r>
        <w:rPr>
          <w:rFonts w:asciiTheme="minorHAnsi" w:hAnsiTheme="minorHAnsi" w:cstheme="minorHAnsi"/>
          <w:sz w:val="22"/>
          <w:szCs w:val="22"/>
        </w:rPr>
        <w:t>Armed Forces</w:t>
      </w:r>
    </w:p>
    <w:p w14:paraId="6D3DE456" w14:textId="3D2A8E7E" w:rsidR="00347670" w:rsidRDefault="00347670" w:rsidP="00CE22D9">
      <w:pPr>
        <w:pStyle w:val="BodyText"/>
        <w:numPr>
          <w:ilvl w:val="0"/>
          <w:numId w:val="8"/>
        </w:numPr>
        <w:rPr>
          <w:rFonts w:asciiTheme="minorHAnsi" w:hAnsiTheme="minorHAnsi" w:cstheme="minorHAnsi"/>
          <w:sz w:val="22"/>
          <w:szCs w:val="22"/>
        </w:rPr>
      </w:pPr>
      <w:r>
        <w:rPr>
          <w:rFonts w:asciiTheme="minorHAnsi" w:hAnsiTheme="minorHAnsi" w:cstheme="minorHAnsi"/>
          <w:sz w:val="22"/>
          <w:szCs w:val="22"/>
        </w:rPr>
        <w:t>Drugs &amp; Alcohol</w:t>
      </w:r>
    </w:p>
    <w:p w14:paraId="24A93D62" w14:textId="7EEC7AB5" w:rsidR="00347670" w:rsidRDefault="00347670" w:rsidP="00CE22D9">
      <w:pPr>
        <w:pStyle w:val="BodyText"/>
        <w:numPr>
          <w:ilvl w:val="0"/>
          <w:numId w:val="8"/>
        </w:numPr>
        <w:rPr>
          <w:rFonts w:asciiTheme="minorHAnsi" w:hAnsiTheme="minorHAnsi" w:cstheme="minorHAnsi"/>
          <w:sz w:val="22"/>
          <w:szCs w:val="22"/>
        </w:rPr>
      </w:pPr>
      <w:r>
        <w:rPr>
          <w:rFonts w:asciiTheme="minorHAnsi" w:hAnsiTheme="minorHAnsi" w:cstheme="minorHAnsi"/>
          <w:sz w:val="22"/>
          <w:szCs w:val="22"/>
        </w:rPr>
        <w:t>Artificial Intelligence</w:t>
      </w:r>
    </w:p>
    <w:p w14:paraId="512C775A" w14:textId="1B2138D0" w:rsidR="004C6084" w:rsidRDefault="004C6084" w:rsidP="00CE22D9">
      <w:pPr>
        <w:pStyle w:val="BodyText"/>
        <w:numPr>
          <w:ilvl w:val="0"/>
          <w:numId w:val="8"/>
        </w:numPr>
        <w:rPr>
          <w:rFonts w:asciiTheme="minorHAnsi" w:hAnsiTheme="minorHAnsi" w:cstheme="minorHAnsi"/>
          <w:sz w:val="22"/>
          <w:szCs w:val="22"/>
        </w:rPr>
      </w:pPr>
      <w:r>
        <w:rPr>
          <w:rFonts w:asciiTheme="minorHAnsi" w:hAnsiTheme="minorHAnsi" w:cstheme="minorHAnsi"/>
          <w:sz w:val="22"/>
          <w:szCs w:val="22"/>
        </w:rPr>
        <w:t>Family Friendly, including Flexible Working</w:t>
      </w:r>
    </w:p>
    <w:p w14:paraId="6C1E4420" w14:textId="60286F0B" w:rsidR="00347670" w:rsidRDefault="00347670" w:rsidP="00347670">
      <w:pPr>
        <w:pStyle w:val="BodyText"/>
        <w:rPr>
          <w:rFonts w:asciiTheme="minorHAnsi" w:hAnsiTheme="minorHAnsi" w:cstheme="minorHAnsi"/>
          <w:sz w:val="22"/>
          <w:szCs w:val="22"/>
        </w:rPr>
      </w:pPr>
    </w:p>
    <w:p w14:paraId="0A38D6BC" w14:textId="0AACB17D" w:rsidR="00347670" w:rsidRDefault="004C6084" w:rsidP="00347670">
      <w:pPr>
        <w:pStyle w:val="BodyText"/>
        <w:rPr>
          <w:rFonts w:asciiTheme="minorHAnsi" w:hAnsiTheme="minorHAnsi" w:cstheme="minorHAnsi"/>
          <w:sz w:val="22"/>
          <w:szCs w:val="22"/>
        </w:rPr>
      </w:pPr>
      <w:r w:rsidRPr="004C6084">
        <w:rPr>
          <w:rFonts w:asciiTheme="minorHAnsi" w:hAnsiTheme="minorHAnsi" w:cstheme="minorHAnsi"/>
          <w:sz w:val="22"/>
          <w:szCs w:val="22"/>
        </w:rPr>
        <w:t xml:space="preserve">Additionally, the Absence Management Guidance for line managers is due to be published after a substantial period of time having passed since they were first brought to JNC in October 2023.  </w:t>
      </w:r>
      <w:r w:rsidRPr="004C6084">
        <w:rPr>
          <w:rFonts w:asciiTheme="minorHAnsi" w:hAnsiTheme="minorHAnsi" w:cstheme="minorHAnsi"/>
          <w:bCs/>
          <w:sz w:val="22"/>
          <w:szCs w:val="22"/>
        </w:rPr>
        <w:t>The guidance has been reviewed after initial feedback and updated. T</w:t>
      </w:r>
      <w:r w:rsidRPr="004C6084">
        <w:rPr>
          <w:rFonts w:asciiTheme="minorHAnsi" w:hAnsiTheme="minorHAnsi" w:cstheme="minorHAnsi"/>
          <w:sz w:val="22"/>
          <w:szCs w:val="22"/>
        </w:rPr>
        <w:t>he trade union</w:t>
      </w:r>
      <w:r>
        <w:rPr>
          <w:rFonts w:asciiTheme="minorHAnsi" w:hAnsiTheme="minorHAnsi" w:cstheme="minorHAnsi"/>
          <w:sz w:val="22"/>
          <w:szCs w:val="22"/>
        </w:rPr>
        <w:t xml:space="preserve"> was encouraged to specify where they wished to see further amendments, however instead indicated they were minded to bring out their own guidance.</w:t>
      </w:r>
    </w:p>
    <w:p w14:paraId="1E21CA20" w14:textId="1153EC91" w:rsidR="00CE22D9" w:rsidRDefault="00CE22D9" w:rsidP="00347670">
      <w:pPr>
        <w:pStyle w:val="BodyText"/>
        <w:rPr>
          <w:rFonts w:asciiTheme="minorHAnsi" w:hAnsiTheme="minorHAnsi" w:cstheme="minorHAnsi"/>
          <w:sz w:val="22"/>
          <w:szCs w:val="22"/>
        </w:rPr>
      </w:pPr>
    </w:p>
    <w:p w14:paraId="5BA74054" w14:textId="1F742CEA" w:rsidR="00CE22D9" w:rsidRDefault="00CE22D9" w:rsidP="00347670">
      <w:pPr>
        <w:pStyle w:val="BodyText"/>
        <w:rPr>
          <w:rFonts w:asciiTheme="minorHAnsi" w:hAnsiTheme="minorHAnsi" w:cstheme="minorHAnsi"/>
          <w:sz w:val="22"/>
          <w:szCs w:val="22"/>
        </w:rPr>
      </w:pPr>
      <w:r>
        <w:rPr>
          <w:rFonts w:asciiTheme="minorHAnsi" w:hAnsiTheme="minorHAnsi" w:cstheme="minorHAnsi"/>
          <w:sz w:val="22"/>
          <w:szCs w:val="22"/>
        </w:rPr>
        <w:t>Other topics discussed included Collegiate Working, Cross Campus Working, Temporary Lecturers and Additional Hours, and the impact of VS on college departments.</w:t>
      </w:r>
    </w:p>
    <w:p w14:paraId="1D328671" w14:textId="365C6D3A" w:rsidR="004C6084" w:rsidRDefault="004C6084" w:rsidP="00347670">
      <w:pPr>
        <w:pStyle w:val="BodyText"/>
        <w:rPr>
          <w:rFonts w:asciiTheme="minorHAnsi" w:hAnsiTheme="minorHAnsi" w:cstheme="minorHAnsi"/>
          <w:sz w:val="22"/>
          <w:szCs w:val="22"/>
        </w:rPr>
      </w:pPr>
    </w:p>
    <w:p w14:paraId="12D70B30" w14:textId="6A243907" w:rsidR="004C6084" w:rsidRDefault="004C6084" w:rsidP="00347670">
      <w:pPr>
        <w:pStyle w:val="BodyText"/>
        <w:rPr>
          <w:rFonts w:asciiTheme="minorHAnsi" w:hAnsiTheme="minorHAnsi" w:cstheme="minorHAnsi"/>
          <w:sz w:val="22"/>
          <w:szCs w:val="22"/>
        </w:rPr>
      </w:pPr>
      <w:r>
        <w:rPr>
          <w:rFonts w:asciiTheme="minorHAnsi" w:hAnsiTheme="minorHAnsi" w:cstheme="minorHAnsi"/>
          <w:sz w:val="22"/>
          <w:szCs w:val="22"/>
        </w:rPr>
        <w:t xml:space="preserve">The trade union submitted a late paper </w:t>
      </w:r>
      <w:r w:rsidR="00CE22D9">
        <w:rPr>
          <w:rFonts w:asciiTheme="minorHAnsi" w:hAnsiTheme="minorHAnsi" w:cstheme="minorHAnsi"/>
          <w:sz w:val="22"/>
          <w:szCs w:val="22"/>
        </w:rPr>
        <w:t xml:space="preserve">to the agenda </w:t>
      </w:r>
      <w:r>
        <w:rPr>
          <w:rFonts w:asciiTheme="minorHAnsi" w:hAnsiTheme="minorHAnsi" w:cstheme="minorHAnsi"/>
          <w:sz w:val="22"/>
          <w:szCs w:val="22"/>
        </w:rPr>
        <w:t>about Supported Learning / Access &amp; Progression which they said did not require an immediate response at the meeting</w:t>
      </w:r>
      <w:r w:rsidR="00CE22D9">
        <w:rPr>
          <w:rFonts w:asciiTheme="minorHAnsi" w:hAnsiTheme="minorHAnsi" w:cstheme="minorHAnsi"/>
          <w:sz w:val="22"/>
          <w:szCs w:val="22"/>
        </w:rPr>
        <w:t>, however they said it was a curriculum issue which is why it was being brought to this meeting.  They agreed the paper could be shared with the Head of Department.</w:t>
      </w:r>
    </w:p>
    <w:p w14:paraId="275543E6" w14:textId="0D1A943E" w:rsidR="004C6084" w:rsidRDefault="004C6084" w:rsidP="00347670">
      <w:pPr>
        <w:pStyle w:val="BodyText"/>
        <w:rPr>
          <w:rFonts w:asciiTheme="minorHAnsi" w:hAnsiTheme="minorHAnsi" w:cstheme="minorHAnsi"/>
          <w:sz w:val="22"/>
          <w:szCs w:val="22"/>
        </w:rPr>
      </w:pPr>
    </w:p>
    <w:p w14:paraId="7B502706" w14:textId="5259EE62" w:rsidR="004C6084" w:rsidRPr="00CE22D9" w:rsidRDefault="00CE22D9" w:rsidP="00347670">
      <w:pPr>
        <w:pStyle w:val="BodyText"/>
        <w:rPr>
          <w:rFonts w:asciiTheme="minorHAnsi" w:hAnsiTheme="minorHAnsi" w:cstheme="minorHAnsi"/>
          <w:sz w:val="22"/>
          <w:szCs w:val="22"/>
        </w:rPr>
      </w:pPr>
      <w:r w:rsidRPr="00CE22D9">
        <w:rPr>
          <w:rFonts w:ascii="Calibri" w:eastAsiaTheme="minorHAnsi" w:hAnsi="Calibri" w:cs="Calibri"/>
          <w:sz w:val="22"/>
          <w:szCs w:val="22"/>
          <w:lang w:eastAsia="en-GB"/>
        </w:rPr>
        <w:t>Finally, the trade union expressed their appreciation at how the Payroll team had processed the pay uplift to staff so quickly.</w:t>
      </w:r>
    </w:p>
    <w:p w14:paraId="75B828C3" w14:textId="77777777" w:rsidR="00347670" w:rsidRDefault="00347670" w:rsidP="00347670">
      <w:pPr>
        <w:pStyle w:val="BodyText"/>
        <w:rPr>
          <w:rFonts w:asciiTheme="minorHAnsi" w:hAnsiTheme="minorHAnsi" w:cstheme="minorHAnsi"/>
          <w:sz w:val="22"/>
          <w:szCs w:val="22"/>
        </w:rPr>
      </w:pPr>
    </w:p>
    <w:p w14:paraId="3500ABEA" w14:textId="6E766C54" w:rsidR="00347670" w:rsidRDefault="00347670" w:rsidP="00347670">
      <w:pPr>
        <w:pStyle w:val="BodyText"/>
        <w:rPr>
          <w:rFonts w:asciiTheme="minorHAnsi" w:hAnsiTheme="minorHAnsi" w:cstheme="minorHAnsi"/>
          <w:sz w:val="22"/>
          <w:szCs w:val="22"/>
        </w:rPr>
      </w:pPr>
      <w:r w:rsidRPr="008C6696">
        <w:rPr>
          <w:rFonts w:asciiTheme="minorHAnsi" w:hAnsiTheme="minorHAnsi" w:cstheme="minorHAnsi"/>
          <w:sz w:val="22"/>
          <w:szCs w:val="22"/>
        </w:rPr>
        <w:t>The next meeting of the JNC Academic has</w:t>
      </w:r>
      <w:r>
        <w:rPr>
          <w:rFonts w:asciiTheme="minorHAnsi" w:hAnsiTheme="minorHAnsi" w:cstheme="minorHAnsi"/>
          <w:sz w:val="22"/>
          <w:szCs w:val="22"/>
        </w:rPr>
        <w:t xml:space="preserve"> been provisionally scheduled for 12</w:t>
      </w:r>
      <w:r w:rsidRPr="00347670">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2024.</w:t>
      </w:r>
    </w:p>
    <w:p w14:paraId="4FDA8CE4" w14:textId="77777777" w:rsidR="00347670" w:rsidRDefault="00347670" w:rsidP="008C6696">
      <w:pPr>
        <w:pStyle w:val="BodyText"/>
        <w:rPr>
          <w:rFonts w:asciiTheme="minorHAnsi" w:hAnsiTheme="minorHAnsi" w:cstheme="minorHAnsi"/>
          <w:sz w:val="22"/>
          <w:szCs w:val="22"/>
        </w:rPr>
      </w:pPr>
    </w:p>
    <w:p w14:paraId="087035CA" w14:textId="1A2018A8" w:rsidR="00966E7E" w:rsidRPr="007C6626" w:rsidRDefault="00346A4C" w:rsidP="00163ECA">
      <w:pPr>
        <w:rPr>
          <w:rFonts w:cstheme="minorHAnsi"/>
          <w:b/>
          <w:u w:val="single"/>
        </w:rPr>
      </w:pPr>
      <w:r>
        <w:rPr>
          <w:rFonts w:cstheme="minorHAnsi"/>
          <w:b/>
        </w:rPr>
        <w:t>3</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6B8367E0" w14:textId="2D4BB7EF" w:rsidR="00116B89" w:rsidRPr="007C6626" w:rsidRDefault="00163ECA" w:rsidP="00163ECA">
      <w:pPr>
        <w:rPr>
          <w:rFonts w:cstheme="minorHAnsi"/>
        </w:rPr>
      </w:pPr>
      <w:r w:rsidRPr="007C6626">
        <w:rPr>
          <w:rFonts w:cstheme="minorHAnsi"/>
        </w:rPr>
        <w:t>The</w:t>
      </w:r>
      <w:r w:rsidR="00BF7D96" w:rsidRPr="007C6626">
        <w:rPr>
          <w:rFonts w:cstheme="minorHAnsi"/>
        </w:rPr>
        <w:t>re has been no further meeting of the</w:t>
      </w:r>
      <w:r w:rsidRPr="007C6626">
        <w:rPr>
          <w:rFonts w:cstheme="minorHAnsi"/>
        </w:rPr>
        <w:t xml:space="preserve"> JNC Professional Services </w:t>
      </w:r>
      <w:r w:rsidR="00BF7D96" w:rsidRPr="007C6626">
        <w:rPr>
          <w:rFonts w:cstheme="minorHAnsi"/>
        </w:rPr>
        <w:t xml:space="preserve">since it was last convened on </w:t>
      </w:r>
      <w:r w:rsidR="00FF4A0B" w:rsidRPr="007C6626">
        <w:rPr>
          <w:rFonts w:cstheme="minorHAnsi"/>
        </w:rPr>
        <w:t>3</w:t>
      </w:r>
      <w:r w:rsidR="00D61409" w:rsidRPr="007C6626">
        <w:rPr>
          <w:rFonts w:cstheme="minorHAnsi"/>
        </w:rPr>
        <w:t>0</w:t>
      </w:r>
      <w:r w:rsidR="00D61409" w:rsidRPr="007C6626">
        <w:rPr>
          <w:rFonts w:cstheme="minorHAnsi"/>
          <w:vertAlign w:val="superscript"/>
        </w:rPr>
        <w:t>th</w:t>
      </w:r>
      <w:r w:rsidR="00FF4A0B" w:rsidRPr="007C6626">
        <w:rPr>
          <w:rFonts w:cstheme="minorHAnsi"/>
        </w:rPr>
        <w:t xml:space="preserve"> </w:t>
      </w:r>
      <w:r w:rsidR="00D61409" w:rsidRPr="007C6626">
        <w:rPr>
          <w:rFonts w:cstheme="minorHAnsi"/>
        </w:rPr>
        <w:t>March</w:t>
      </w:r>
      <w:r w:rsidR="00FF4A0B" w:rsidRPr="007C6626">
        <w:rPr>
          <w:rFonts w:cstheme="minorHAnsi"/>
        </w:rPr>
        <w:t xml:space="preserve"> 2023</w:t>
      </w:r>
      <w:r w:rsidRPr="007C6626">
        <w:rPr>
          <w:rFonts w:cstheme="minorHAnsi"/>
        </w:rPr>
        <w:t xml:space="preserve">. </w:t>
      </w:r>
    </w:p>
    <w:p w14:paraId="39D3AE20" w14:textId="2DFD3AD0" w:rsidR="004423A3" w:rsidRPr="005A5D55" w:rsidRDefault="004423A3" w:rsidP="00CE22D9">
      <w:pPr>
        <w:pStyle w:val="Heading1"/>
        <w:numPr>
          <w:ilvl w:val="0"/>
          <w:numId w:val="7"/>
        </w:numPr>
        <w:ind w:left="284" w:hanging="284"/>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14CBAF4" w:rsidR="008A0196" w:rsidRPr="005A5D55" w:rsidRDefault="00DA77D9" w:rsidP="00D60B41">
      <w:pPr>
        <w:spacing w:after="120"/>
        <w:jc w:val="both"/>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0A141A5E" w:rsidR="004423A3" w:rsidRPr="00C5223A" w:rsidRDefault="00C15686" w:rsidP="00E624B8">
      <w:pPr>
        <w:spacing w:after="120"/>
        <w:jc w:val="both"/>
        <w:rPr>
          <w:color w:val="FF0000"/>
        </w:rPr>
      </w:pPr>
      <w:r>
        <w:t>Nov</w:t>
      </w:r>
      <w:r w:rsidR="00FE2374">
        <w:t>ember</w:t>
      </w:r>
      <w:r w:rsidR="009062EA">
        <w:t xml:space="preserve"> 2024</w:t>
      </w:r>
    </w:p>
    <w:p w14:paraId="49470729" w14:textId="14FECB89" w:rsidR="00C71D24" w:rsidRDefault="00C71D24"/>
    <w:sectPr w:rsidR="00C71D24" w:rsidSect="00420BF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5215B"/>
    <w:multiLevelType w:val="hybridMultilevel"/>
    <w:tmpl w:val="AFEC1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EA71A6"/>
    <w:multiLevelType w:val="hybridMultilevel"/>
    <w:tmpl w:val="72A0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F93846"/>
    <w:multiLevelType w:val="hybridMultilevel"/>
    <w:tmpl w:val="7BA8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4405B08"/>
    <w:multiLevelType w:val="hybridMultilevel"/>
    <w:tmpl w:val="163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5" w15:restartNumberingAfterBreak="0">
    <w:nsid w:val="5AAC338D"/>
    <w:multiLevelType w:val="hybridMultilevel"/>
    <w:tmpl w:val="CE78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C5589B"/>
    <w:multiLevelType w:val="hybridMultilevel"/>
    <w:tmpl w:val="99804E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74E3036"/>
    <w:multiLevelType w:val="hybridMultilevel"/>
    <w:tmpl w:val="6FB2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2"/>
  </w:num>
  <w:num w:numId="6">
    <w:abstractNumId w:val="1"/>
  </w:num>
  <w:num w:numId="7">
    <w:abstractNumId w:val="6"/>
  </w:num>
  <w:num w:numId="8">
    <w:abstractNumId w:val="3"/>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534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6CB3"/>
    <w:rsid w:val="000B06A8"/>
    <w:rsid w:val="000B2E70"/>
    <w:rsid w:val="000B594E"/>
    <w:rsid w:val="000C41A9"/>
    <w:rsid w:val="000D4499"/>
    <w:rsid w:val="000E2333"/>
    <w:rsid w:val="000E59E1"/>
    <w:rsid w:val="000F5BF1"/>
    <w:rsid w:val="001073C1"/>
    <w:rsid w:val="00114DE3"/>
    <w:rsid w:val="00115266"/>
    <w:rsid w:val="00116B89"/>
    <w:rsid w:val="0012254E"/>
    <w:rsid w:val="0012259B"/>
    <w:rsid w:val="00127A3D"/>
    <w:rsid w:val="00137C2A"/>
    <w:rsid w:val="0014317B"/>
    <w:rsid w:val="001610F7"/>
    <w:rsid w:val="0016119C"/>
    <w:rsid w:val="00163ECA"/>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BC9"/>
    <w:rsid w:val="001C23F5"/>
    <w:rsid w:val="001C3944"/>
    <w:rsid w:val="001C6D36"/>
    <w:rsid w:val="001E02FC"/>
    <w:rsid w:val="001F439D"/>
    <w:rsid w:val="00204113"/>
    <w:rsid w:val="00204388"/>
    <w:rsid w:val="00210AB4"/>
    <w:rsid w:val="0021197E"/>
    <w:rsid w:val="00213228"/>
    <w:rsid w:val="00215081"/>
    <w:rsid w:val="00222357"/>
    <w:rsid w:val="002246EA"/>
    <w:rsid w:val="002351DB"/>
    <w:rsid w:val="00240AFF"/>
    <w:rsid w:val="00244D90"/>
    <w:rsid w:val="00250735"/>
    <w:rsid w:val="00254658"/>
    <w:rsid w:val="00254D66"/>
    <w:rsid w:val="002604F5"/>
    <w:rsid w:val="00266EA6"/>
    <w:rsid w:val="00275661"/>
    <w:rsid w:val="002807E9"/>
    <w:rsid w:val="00281F66"/>
    <w:rsid w:val="00284343"/>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5F6D"/>
    <w:rsid w:val="003377B8"/>
    <w:rsid w:val="00346A4C"/>
    <w:rsid w:val="00347670"/>
    <w:rsid w:val="0035082E"/>
    <w:rsid w:val="003524BD"/>
    <w:rsid w:val="0035741E"/>
    <w:rsid w:val="00362A25"/>
    <w:rsid w:val="00366E07"/>
    <w:rsid w:val="00367F31"/>
    <w:rsid w:val="00380E00"/>
    <w:rsid w:val="00392F47"/>
    <w:rsid w:val="003A49CE"/>
    <w:rsid w:val="003A5AE5"/>
    <w:rsid w:val="003A7D3C"/>
    <w:rsid w:val="003B7A7C"/>
    <w:rsid w:val="003B7FEF"/>
    <w:rsid w:val="003C0F2A"/>
    <w:rsid w:val="003C44F2"/>
    <w:rsid w:val="003C4892"/>
    <w:rsid w:val="003C4F37"/>
    <w:rsid w:val="003D3BDE"/>
    <w:rsid w:val="003D5A5A"/>
    <w:rsid w:val="003E1A78"/>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1EFA"/>
    <w:rsid w:val="00463066"/>
    <w:rsid w:val="004635A9"/>
    <w:rsid w:val="004702DA"/>
    <w:rsid w:val="0047278F"/>
    <w:rsid w:val="00473E79"/>
    <w:rsid w:val="00483EB6"/>
    <w:rsid w:val="00484C38"/>
    <w:rsid w:val="00484FAF"/>
    <w:rsid w:val="0048707A"/>
    <w:rsid w:val="0048736C"/>
    <w:rsid w:val="00487927"/>
    <w:rsid w:val="00495C7F"/>
    <w:rsid w:val="00496C25"/>
    <w:rsid w:val="00497B61"/>
    <w:rsid w:val="00497DE4"/>
    <w:rsid w:val="004A4AFA"/>
    <w:rsid w:val="004B010F"/>
    <w:rsid w:val="004C6084"/>
    <w:rsid w:val="004C6F0B"/>
    <w:rsid w:val="004D5A38"/>
    <w:rsid w:val="004E0CB3"/>
    <w:rsid w:val="004E0E0E"/>
    <w:rsid w:val="004E46D5"/>
    <w:rsid w:val="004F5AC5"/>
    <w:rsid w:val="004F5FCB"/>
    <w:rsid w:val="004F613C"/>
    <w:rsid w:val="004F7A37"/>
    <w:rsid w:val="00512F3B"/>
    <w:rsid w:val="0051361B"/>
    <w:rsid w:val="005140BA"/>
    <w:rsid w:val="005144D4"/>
    <w:rsid w:val="00520043"/>
    <w:rsid w:val="00522D01"/>
    <w:rsid w:val="0053028B"/>
    <w:rsid w:val="00530C0A"/>
    <w:rsid w:val="00532403"/>
    <w:rsid w:val="0053760D"/>
    <w:rsid w:val="00540C33"/>
    <w:rsid w:val="00541B66"/>
    <w:rsid w:val="00543E52"/>
    <w:rsid w:val="00545276"/>
    <w:rsid w:val="005458FE"/>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442F"/>
    <w:rsid w:val="006E5629"/>
    <w:rsid w:val="006F280C"/>
    <w:rsid w:val="006F5BC7"/>
    <w:rsid w:val="00700471"/>
    <w:rsid w:val="0070301C"/>
    <w:rsid w:val="00703471"/>
    <w:rsid w:val="00713C9F"/>
    <w:rsid w:val="007221D2"/>
    <w:rsid w:val="00724336"/>
    <w:rsid w:val="00733E0F"/>
    <w:rsid w:val="00733E20"/>
    <w:rsid w:val="00737BE3"/>
    <w:rsid w:val="00743EAB"/>
    <w:rsid w:val="00744798"/>
    <w:rsid w:val="0074662D"/>
    <w:rsid w:val="0075509C"/>
    <w:rsid w:val="0075696E"/>
    <w:rsid w:val="00757ADF"/>
    <w:rsid w:val="00767A0F"/>
    <w:rsid w:val="007751D9"/>
    <w:rsid w:val="007846A9"/>
    <w:rsid w:val="0078685F"/>
    <w:rsid w:val="00794C52"/>
    <w:rsid w:val="007A386F"/>
    <w:rsid w:val="007A7981"/>
    <w:rsid w:val="007B2579"/>
    <w:rsid w:val="007B3358"/>
    <w:rsid w:val="007B4789"/>
    <w:rsid w:val="007B4C7F"/>
    <w:rsid w:val="007C65C5"/>
    <w:rsid w:val="007C6626"/>
    <w:rsid w:val="007C72F7"/>
    <w:rsid w:val="007D2A69"/>
    <w:rsid w:val="007D2F56"/>
    <w:rsid w:val="007D677F"/>
    <w:rsid w:val="007D68AC"/>
    <w:rsid w:val="007E0645"/>
    <w:rsid w:val="007E1A51"/>
    <w:rsid w:val="007E38DD"/>
    <w:rsid w:val="007E5522"/>
    <w:rsid w:val="008010D3"/>
    <w:rsid w:val="00811E9A"/>
    <w:rsid w:val="00816348"/>
    <w:rsid w:val="008230BC"/>
    <w:rsid w:val="00823927"/>
    <w:rsid w:val="008306C2"/>
    <w:rsid w:val="00830C4D"/>
    <w:rsid w:val="0083109A"/>
    <w:rsid w:val="0083207C"/>
    <w:rsid w:val="00850362"/>
    <w:rsid w:val="008540DD"/>
    <w:rsid w:val="00856160"/>
    <w:rsid w:val="008567C0"/>
    <w:rsid w:val="00862405"/>
    <w:rsid w:val="00864136"/>
    <w:rsid w:val="00864AB4"/>
    <w:rsid w:val="008703B6"/>
    <w:rsid w:val="00873CDE"/>
    <w:rsid w:val="008763D1"/>
    <w:rsid w:val="00881696"/>
    <w:rsid w:val="00884437"/>
    <w:rsid w:val="00886B34"/>
    <w:rsid w:val="0089166C"/>
    <w:rsid w:val="0089723F"/>
    <w:rsid w:val="008A0196"/>
    <w:rsid w:val="008A2AD5"/>
    <w:rsid w:val="008A7A11"/>
    <w:rsid w:val="008B3BC2"/>
    <w:rsid w:val="008B72E2"/>
    <w:rsid w:val="008C0722"/>
    <w:rsid w:val="008C0B8F"/>
    <w:rsid w:val="008C6696"/>
    <w:rsid w:val="008D0723"/>
    <w:rsid w:val="008D2DF0"/>
    <w:rsid w:val="008D72F9"/>
    <w:rsid w:val="008E79EB"/>
    <w:rsid w:val="008F051A"/>
    <w:rsid w:val="008F130C"/>
    <w:rsid w:val="008F3BC8"/>
    <w:rsid w:val="00901BF5"/>
    <w:rsid w:val="00902438"/>
    <w:rsid w:val="0090478F"/>
    <w:rsid w:val="009062EA"/>
    <w:rsid w:val="009136CE"/>
    <w:rsid w:val="00915D75"/>
    <w:rsid w:val="009162DE"/>
    <w:rsid w:val="009207C1"/>
    <w:rsid w:val="0092606F"/>
    <w:rsid w:val="00926B2C"/>
    <w:rsid w:val="00937080"/>
    <w:rsid w:val="009447A2"/>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68DE"/>
    <w:rsid w:val="009D1BB8"/>
    <w:rsid w:val="009D45B2"/>
    <w:rsid w:val="009E349F"/>
    <w:rsid w:val="009F1335"/>
    <w:rsid w:val="00A04AD9"/>
    <w:rsid w:val="00A05371"/>
    <w:rsid w:val="00A10ECC"/>
    <w:rsid w:val="00A1264C"/>
    <w:rsid w:val="00A13381"/>
    <w:rsid w:val="00A207C4"/>
    <w:rsid w:val="00A24475"/>
    <w:rsid w:val="00A248FF"/>
    <w:rsid w:val="00A25448"/>
    <w:rsid w:val="00A34956"/>
    <w:rsid w:val="00A34A21"/>
    <w:rsid w:val="00A37F95"/>
    <w:rsid w:val="00A40E52"/>
    <w:rsid w:val="00A45196"/>
    <w:rsid w:val="00A56B1A"/>
    <w:rsid w:val="00A5764F"/>
    <w:rsid w:val="00A57D97"/>
    <w:rsid w:val="00A6116B"/>
    <w:rsid w:val="00A76122"/>
    <w:rsid w:val="00A84065"/>
    <w:rsid w:val="00A8583B"/>
    <w:rsid w:val="00A85A06"/>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B002DB"/>
    <w:rsid w:val="00B00942"/>
    <w:rsid w:val="00B05615"/>
    <w:rsid w:val="00B135CB"/>
    <w:rsid w:val="00B1426E"/>
    <w:rsid w:val="00B14AEA"/>
    <w:rsid w:val="00B21D5F"/>
    <w:rsid w:val="00B23728"/>
    <w:rsid w:val="00B31615"/>
    <w:rsid w:val="00B35128"/>
    <w:rsid w:val="00B42557"/>
    <w:rsid w:val="00B4436E"/>
    <w:rsid w:val="00B52B51"/>
    <w:rsid w:val="00B53F5F"/>
    <w:rsid w:val="00B57455"/>
    <w:rsid w:val="00B57785"/>
    <w:rsid w:val="00B61AE3"/>
    <w:rsid w:val="00B65758"/>
    <w:rsid w:val="00B65D08"/>
    <w:rsid w:val="00B66028"/>
    <w:rsid w:val="00B66DC2"/>
    <w:rsid w:val="00B74BEE"/>
    <w:rsid w:val="00B7502F"/>
    <w:rsid w:val="00B84A24"/>
    <w:rsid w:val="00B84DE2"/>
    <w:rsid w:val="00B9268F"/>
    <w:rsid w:val="00B94537"/>
    <w:rsid w:val="00B97ABE"/>
    <w:rsid w:val="00BB10B1"/>
    <w:rsid w:val="00BB1EDD"/>
    <w:rsid w:val="00BB4EC6"/>
    <w:rsid w:val="00BB5005"/>
    <w:rsid w:val="00BB7AFF"/>
    <w:rsid w:val="00BC0974"/>
    <w:rsid w:val="00BC1611"/>
    <w:rsid w:val="00BC38A4"/>
    <w:rsid w:val="00BC3CF6"/>
    <w:rsid w:val="00BC4A51"/>
    <w:rsid w:val="00BD4E84"/>
    <w:rsid w:val="00BD644B"/>
    <w:rsid w:val="00BF299A"/>
    <w:rsid w:val="00BF7D96"/>
    <w:rsid w:val="00C06A34"/>
    <w:rsid w:val="00C10D0F"/>
    <w:rsid w:val="00C11BE3"/>
    <w:rsid w:val="00C15686"/>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6065"/>
    <w:rsid w:val="00CA74DB"/>
    <w:rsid w:val="00CB1C58"/>
    <w:rsid w:val="00CB61E6"/>
    <w:rsid w:val="00CC085C"/>
    <w:rsid w:val="00CC64F2"/>
    <w:rsid w:val="00CD0C26"/>
    <w:rsid w:val="00CD1111"/>
    <w:rsid w:val="00CD448B"/>
    <w:rsid w:val="00CD5BD8"/>
    <w:rsid w:val="00CD76DC"/>
    <w:rsid w:val="00CD7B81"/>
    <w:rsid w:val="00CE22D9"/>
    <w:rsid w:val="00CE5F05"/>
    <w:rsid w:val="00CF0826"/>
    <w:rsid w:val="00CF39AC"/>
    <w:rsid w:val="00CF6A98"/>
    <w:rsid w:val="00D1081A"/>
    <w:rsid w:val="00D147C3"/>
    <w:rsid w:val="00D15B44"/>
    <w:rsid w:val="00D167D0"/>
    <w:rsid w:val="00D21EDC"/>
    <w:rsid w:val="00D26F9C"/>
    <w:rsid w:val="00D32689"/>
    <w:rsid w:val="00D363D1"/>
    <w:rsid w:val="00D363D4"/>
    <w:rsid w:val="00D368E0"/>
    <w:rsid w:val="00D36FC7"/>
    <w:rsid w:val="00D40366"/>
    <w:rsid w:val="00D417AE"/>
    <w:rsid w:val="00D44B74"/>
    <w:rsid w:val="00D54E69"/>
    <w:rsid w:val="00D571A8"/>
    <w:rsid w:val="00D602EC"/>
    <w:rsid w:val="00D60B41"/>
    <w:rsid w:val="00D61409"/>
    <w:rsid w:val="00D67491"/>
    <w:rsid w:val="00D710B7"/>
    <w:rsid w:val="00D8250A"/>
    <w:rsid w:val="00D86BB5"/>
    <w:rsid w:val="00D86C08"/>
    <w:rsid w:val="00D91794"/>
    <w:rsid w:val="00D93659"/>
    <w:rsid w:val="00DA24A6"/>
    <w:rsid w:val="00DA4E1B"/>
    <w:rsid w:val="00DA5495"/>
    <w:rsid w:val="00DA77D9"/>
    <w:rsid w:val="00DB5C41"/>
    <w:rsid w:val="00DB6706"/>
    <w:rsid w:val="00DD1167"/>
    <w:rsid w:val="00DD20EA"/>
    <w:rsid w:val="00DE3DC1"/>
    <w:rsid w:val="00DE4306"/>
    <w:rsid w:val="00DE56BD"/>
    <w:rsid w:val="00DF50FA"/>
    <w:rsid w:val="00DF5685"/>
    <w:rsid w:val="00E01C38"/>
    <w:rsid w:val="00E12F4F"/>
    <w:rsid w:val="00E13315"/>
    <w:rsid w:val="00E17E3A"/>
    <w:rsid w:val="00E224EF"/>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45B"/>
    <w:rsid w:val="00F25790"/>
    <w:rsid w:val="00F258B8"/>
    <w:rsid w:val="00F31D3E"/>
    <w:rsid w:val="00F339D7"/>
    <w:rsid w:val="00F36CDA"/>
    <w:rsid w:val="00F4034D"/>
    <w:rsid w:val="00F55041"/>
    <w:rsid w:val="00F616E7"/>
    <w:rsid w:val="00F708FC"/>
    <w:rsid w:val="00F734E7"/>
    <w:rsid w:val="00F76DB8"/>
    <w:rsid w:val="00F76EDE"/>
    <w:rsid w:val="00F832C2"/>
    <w:rsid w:val="00F86390"/>
    <w:rsid w:val="00F93F2A"/>
    <w:rsid w:val="00FA0BEB"/>
    <w:rsid w:val="00FA0DCD"/>
    <w:rsid w:val="00FA1D29"/>
    <w:rsid w:val="00FA1E3A"/>
    <w:rsid w:val="00FB021D"/>
    <w:rsid w:val="00FB0BD9"/>
    <w:rsid w:val="00FB261A"/>
    <w:rsid w:val="00FB4865"/>
    <w:rsid w:val="00FB49A1"/>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24330051">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31379623">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466044884">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796340242">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0643699">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268982">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211">
      <w:bodyDiv w:val="1"/>
      <w:marLeft w:val="0"/>
      <w:marRight w:val="0"/>
      <w:marTop w:val="0"/>
      <w:marBottom w:val="0"/>
      <w:divBdr>
        <w:top w:val="none" w:sz="0" w:space="0" w:color="auto"/>
        <w:left w:val="none" w:sz="0" w:space="0" w:color="auto"/>
        <w:bottom w:val="none" w:sz="0" w:space="0" w:color="auto"/>
        <w:right w:val="none" w:sz="0" w:space="0" w:color="auto"/>
      </w:divBdr>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47271436">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79636775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14937708">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39294-DB6D-470B-BD57-5AF91B6BD94A}"/>
</file>

<file path=customXml/itemProps2.xml><?xml version="1.0" encoding="utf-8"?>
<ds:datastoreItem xmlns:ds="http://schemas.openxmlformats.org/officeDocument/2006/customXml" ds:itemID="{A1205BAB-A23A-4C0C-AAD8-AE0C013B418E}">
  <ds:schemaRefs>
    <ds:schemaRef ds:uri="http://schemas.openxmlformats.org/package/2006/metadata/core-properties"/>
    <ds:schemaRef ds:uri="http://www.w3.org/XML/1998/namespace"/>
    <ds:schemaRef ds:uri="2cef04b9-c267-4396-954c-c8a5da9f1fdf"/>
    <ds:schemaRef ds:uri="http://schemas.microsoft.com/office/infopath/2007/PartnerControls"/>
    <ds:schemaRef ds:uri="http://purl.org/dc/terms/"/>
    <ds:schemaRef ds:uri="http://schemas.microsoft.com/office/2006/metadata/properties"/>
    <ds:schemaRef ds:uri="http://schemas.microsoft.com/office/2006/documentManagement/types"/>
    <ds:schemaRef ds:uri="8fa144f9-b851-4b8b-b47c-fd095690cc8e"/>
    <ds:schemaRef ds:uri="http://purl.org/dc/dcmitype/"/>
    <ds:schemaRef ds:uri="http://purl.org/dc/elements/1.1/"/>
  </ds:schemaRefs>
</ds:datastoreItem>
</file>

<file path=customXml/itemProps3.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4.xml><?xml version="1.0" encoding="utf-8"?>
<ds:datastoreItem xmlns:ds="http://schemas.openxmlformats.org/officeDocument/2006/customXml" ds:itemID="{1D829417-875C-4CB5-B379-D577185C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8</cp:revision>
  <cp:lastPrinted>2020-11-16T10:12:00Z</cp:lastPrinted>
  <dcterms:created xsi:type="dcterms:W3CDTF">2024-11-10T21:40:00Z</dcterms:created>
  <dcterms:modified xsi:type="dcterms:W3CDTF">2024-11-11T12:24:00Z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