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7CCCC" w14:textId="77777777" w:rsidR="0091770B" w:rsidRPr="00000714" w:rsidRDefault="0091770B" w:rsidP="0091770B">
      <w:pPr>
        <w:tabs>
          <w:tab w:val="left" w:pos="9036"/>
        </w:tabs>
        <w:jc w:val="both"/>
        <w:rPr>
          <w:rFonts w:cstheme="minorHAnsi"/>
          <w:b/>
        </w:rPr>
      </w:pPr>
      <w:r w:rsidRPr="00000714">
        <w:rPr>
          <w:rFonts w:cstheme="minorHAnsi"/>
          <w:b/>
        </w:rPr>
        <w:t>Minute: NCL Resources and General Purposes Committee (RGP)</w:t>
      </w:r>
    </w:p>
    <w:p w14:paraId="5A087B5C" w14:textId="77777777" w:rsidR="0091770B" w:rsidRPr="00000714" w:rsidRDefault="0091770B" w:rsidP="0091770B">
      <w:pPr>
        <w:jc w:val="both"/>
        <w:rPr>
          <w:rFonts w:cstheme="minorHAnsi"/>
          <w:b/>
        </w:rPr>
      </w:pPr>
      <w:r w:rsidRPr="00000714">
        <w:rPr>
          <w:rFonts w:cstheme="minorHAnsi"/>
          <w:b/>
        </w:rPr>
        <w:t xml:space="preserve">15.00 on </w:t>
      </w:r>
      <w:r w:rsidR="000B4F97">
        <w:rPr>
          <w:rFonts w:cstheme="minorHAnsi"/>
          <w:b/>
        </w:rPr>
        <w:t xml:space="preserve">24 February 2025 </w:t>
      </w:r>
      <w:r>
        <w:rPr>
          <w:rFonts w:cstheme="minorHAnsi"/>
          <w:b/>
        </w:rPr>
        <w:t xml:space="preserve">at Cumbernauld and </w:t>
      </w:r>
      <w:r w:rsidRPr="00000714">
        <w:rPr>
          <w:rFonts w:cstheme="minorHAnsi"/>
          <w:b/>
        </w:rPr>
        <w:t>via Zoom</w:t>
      </w:r>
    </w:p>
    <w:p w14:paraId="12715CAE" w14:textId="77777777" w:rsidR="0091770B" w:rsidRPr="000B4F97" w:rsidRDefault="0091770B" w:rsidP="0091770B">
      <w:pPr>
        <w:jc w:val="both"/>
        <w:rPr>
          <w:rFonts w:cstheme="minorHAnsi"/>
        </w:rPr>
      </w:pPr>
      <w:r w:rsidRPr="00000714">
        <w:rPr>
          <w:rFonts w:cstheme="minorHAnsi"/>
        </w:rPr>
        <w:t>Present:  Keith Fulton (Chair)</w:t>
      </w:r>
      <w:r>
        <w:rPr>
          <w:rFonts w:cstheme="minorHAnsi"/>
        </w:rPr>
        <w:t>, Christopher Moore</w:t>
      </w:r>
    </w:p>
    <w:p w14:paraId="21FD340A" w14:textId="77777777" w:rsidR="0091770B" w:rsidRPr="00000714" w:rsidRDefault="0091770B" w:rsidP="0091770B">
      <w:pPr>
        <w:jc w:val="both"/>
        <w:rPr>
          <w:rFonts w:cstheme="minorHAnsi"/>
        </w:rPr>
      </w:pPr>
      <w:r w:rsidRPr="00000714">
        <w:rPr>
          <w:rFonts w:cstheme="minorHAnsi"/>
        </w:rPr>
        <w:t xml:space="preserve">Apologies: </w:t>
      </w:r>
      <w:r>
        <w:rPr>
          <w:rFonts w:cstheme="minorHAnsi"/>
        </w:rPr>
        <w:t xml:space="preserve">David Alves </w:t>
      </w:r>
    </w:p>
    <w:p w14:paraId="09C21949" w14:textId="77777777" w:rsidR="0091770B" w:rsidRPr="00000714" w:rsidRDefault="0091770B" w:rsidP="0091770B">
      <w:pPr>
        <w:jc w:val="both"/>
        <w:rPr>
          <w:rFonts w:cstheme="minorHAnsi"/>
        </w:rPr>
      </w:pPr>
      <w:r w:rsidRPr="00000714">
        <w:rPr>
          <w:rFonts w:cstheme="minorHAnsi"/>
        </w:rPr>
        <w:t>In attendance:  Ann Baxter</w:t>
      </w:r>
      <w:r>
        <w:rPr>
          <w:rFonts w:cstheme="minorHAnsi"/>
        </w:rPr>
        <w:t>, Ronnie Gilmour</w:t>
      </w:r>
      <w:r w:rsidRPr="00000714">
        <w:rPr>
          <w:rFonts w:cstheme="minorHAnsi"/>
        </w:rPr>
        <w:t>,</w:t>
      </w:r>
      <w:r w:rsidR="00B93B0F">
        <w:rPr>
          <w:rFonts w:cstheme="minorHAnsi"/>
        </w:rPr>
        <w:t xml:space="preserve"> </w:t>
      </w:r>
      <w:r w:rsidRPr="00000714">
        <w:rPr>
          <w:rFonts w:cstheme="minorHAnsi"/>
        </w:rPr>
        <w:t xml:space="preserve"> </w:t>
      </w:r>
      <w:r w:rsidR="00B93B0F">
        <w:rPr>
          <w:rFonts w:cstheme="minorHAnsi"/>
        </w:rPr>
        <w:t>Ronnie Smith (</w:t>
      </w:r>
      <w:r w:rsidR="00B93B0F" w:rsidRPr="000B4F97">
        <w:rPr>
          <w:rFonts w:cstheme="minorHAnsi"/>
        </w:rPr>
        <w:t>from item 10)</w:t>
      </w:r>
      <w:r w:rsidR="00B93B0F">
        <w:rPr>
          <w:rFonts w:cstheme="minorHAnsi"/>
        </w:rPr>
        <w:t xml:space="preserve">, </w:t>
      </w:r>
      <w:r>
        <w:rPr>
          <w:rFonts w:cstheme="minorHAnsi"/>
        </w:rPr>
        <w:t xml:space="preserve">Elaine Turkington, </w:t>
      </w:r>
      <w:r w:rsidRPr="00000714">
        <w:rPr>
          <w:rFonts w:cstheme="minorHAnsi"/>
        </w:rPr>
        <w:t>Diane McGill, Penny Neish</w:t>
      </w:r>
    </w:p>
    <w:p w14:paraId="7650BB17" w14:textId="77777777" w:rsidR="0091770B" w:rsidRPr="00000714" w:rsidRDefault="0091770B" w:rsidP="0091770B">
      <w:pPr>
        <w:pStyle w:val="ListParagraph"/>
        <w:numPr>
          <w:ilvl w:val="0"/>
          <w:numId w:val="1"/>
        </w:numPr>
        <w:spacing w:after="0"/>
        <w:ind w:left="0" w:firstLine="0"/>
        <w:jc w:val="both"/>
        <w:rPr>
          <w:rFonts w:cstheme="minorHAnsi"/>
          <w:b/>
        </w:rPr>
      </w:pPr>
      <w:r w:rsidRPr="00000714">
        <w:rPr>
          <w:rFonts w:cstheme="minorHAnsi"/>
          <w:b/>
        </w:rPr>
        <w:t>Chair’s welcome</w:t>
      </w:r>
    </w:p>
    <w:p w14:paraId="12265CB1" w14:textId="77777777" w:rsidR="0091770B" w:rsidRDefault="0091770B" w:rsidP="0091770B">
      <w:pPr>
        <w:spacing w:after="0" w:line="240" w:lineRule="auto"/>
        <w:ind w:left="720"/>
        <w:jc w:val="both"/>
        <w:rPr>
          <w:rFonts w:cstheme="minorHAnsi"/>
        </w:rPr>
      </w:pPr>
      <w:r w:rsidRPr="005A0FBC">
        <w:rPr>
          <w:rFonts w:cstheme="minorHAnsi"/>
        </w:rPr>
        <w:t>Keith Fulton (KF) opened the meeting and welcomed everyone</w:t>
      </w:r>
      <w:r>
        <w:rPr>
          <w:rFonts w:cstheme="minorHAnsi"/>
        </w:rPr>
        <w:t>, noting that Ronnie Smith (RS) w</w:t>
      </w:r>
      <w:r w:rsidR="00423852">
        <w:rPr>
          <w:rFonts w:cstheme="minorHAnsi"/>
        </w:rPr>
        <w:t xml:space="preserve">as expected to </w:t>
      </w:r>
      <w:r>
        <w:rPr>
          <w:rFonts w:cstheme="minorHAnsi"/>
        </w:rPr>
        <w:t>join the meeting later. KF advised that the meeting was not quorate</w:t>
      </w:r>
      <w:r w:rsidR="00A17E9A">
        <w:rPr>
          <w:rFonts w:cstheme="minorHAnsi"/>
        </w:rPr>
        <w:t xml:space="preserve"> following the resignation of</w:t>
      </w:r>
      <w:r>
        <w:rPr>
          <w:rFonts w:cstheme="minorHAnsi"/>
        </w:rPr>
        <w:t xml:space="preserve"> Derek Hamill </w:t>
      </w:r>
      <w:r w:rsidR="00A17E9A">
        <w:rPr>
          <w:rFonts w:cstheme="minorHAnsi"/>
        </w:rPr>
        <w:t xml:space="preserve">from </w:t>
      </w:r>
      <w:r>
        <w:rPr>
          <w:rFonts w:cstheme="minorHAnsi"/>
        </w:rPr>
        <w:t>the RSB</w:t>
      </w:r>
      <w:r w:rsidR="00284873">
        <w:rPr>
          <w:rFonts w:cstheme="minorHAnsi"/>
        </w:rPr>
        <w:t xml:space="preserve">, coinciding with </w:t>
      </w:r>
      <w:r w:rsidR="000B4F97">
        <w:rPr>
          <w:rFonts w:cstheme="minorHAnsi"/>
        </w:rPr>
        <w:t>the absence of David Alves due to a business commitment</w:t>
      </w:r>
      <w:r>
        <w:rPr>
          <w:rFonts w:cstheme="minorHAnsi"/>
        </w:rPr>
        <w:t xml:space="preserve">.  </w:t>
      </w:r>
      <w:r w:rsidR="00A17E9A">
        <w:rPr>
          <w:rFonts w:cstheme="minorHAnsi"/>
        </w:rPr>
        <w:t>It was agreed that a new member would be sought</w:t>
      </w:r>
      <w:r w:rsidR="000B4F97">
        <w:rPr>
          <w:rFonts w:cstheme="minorHAnsi"/>
        </w:rPr>
        <w:t xml:space="preserve"> to replace Derek Hamill </w:t>
      </w:r>
      <w:r w:rsidR="00A17E9A">
        <w:rPr>
          <w:rFonts w:cstheme="minorHAnsi"/>
        </w:rPr>
        <w:t xml:space="preserve"> in time for the next meeting.  KF said that as the meeting was not quorate, any decisions the committee wanted to take would need to go the full Board for ratification.</w:t>
      </w:r>
    </w:p>
    <w:p w14:paraId="64BEA52D" w14:textId="77777777" w:rsidR="0091770B" w:rsidRPr="00000714" w:rsidRDefault="0091770B" w:rsidP="0091770B">
      <w:pPr>
        <w:spacing w:after="0" w:line="240" w:lineRule="auto"/>
        <w:ind w:left="720"/>
        <w:jc w:val="both"/>
        <w:rPr>
          <w:rFonts w:cstheme="minorHAnsi"/>
          <w:b/>
        </w:rPr>
      </w:pPr>
    </w:p>
    <w:p w14:paraId="00D39601" w14:textId="77777777" w:rsidR="0091770B" w:rsidRPr="00000714" w:rsidRDefault="0091770B" w:rsidP="0091770B">
      <w:pPr>
        <w:spacing w:after="0"/>
        <w:jc w:val="both"/>
        <w:rPr>
          <w:rFonts w:cstheme="minorHAnsi"/>
          <w:b/>
        </w:rPr>
      </w:pPr>
      <w:r w:rsidRPr="00000714">
        <w:rPr>
          <w:rFonts w:cstheme="minorHAnsi"/>
          <w:b/>
        </w:rPr>
        <w:t>2.</w:t>
      </w:r>
      <w:r w:rsidRPr="00000714">
        <w:rPr>
          <w:rFonts w:cstheme="minorHAnsi"/>
          <w:b/>
        </w:rPr>
        <w:tab/>
        <w:t>Apologies</w:t>
      </w:r>
    </w:p>
    <w:p w14:paraId="502E51FE" w14:textId="77777777" w:rsidR="0091770B" w:rsidRPr="00000714" w:rsidRDefault="0091770B" w:rsidP="0091770B">
      <w:pPr>
        <w:ind w:left="720"/>
        <w:jc w:val="both"/>
        <w:rPr>
          <w:rFonts w:cstheme="minorHAnsi"/>
        </w:rPr>
      </w:pPr>
      <w:r w:rsidRPr="00000714">
        <w:rPr>
          <w:rFonts w:cstheme="minorHAnsi"/>
        </w:rPr>
        <w:t>As noted above.</w:t>
      </w:r>
    </w:p>
    <w:p w14:paraId="1C0C6EDE" w14:textId="77777777" w:rsidR="0091770B" w:rsidRPr="00000714" w:rsidRDefault="0091770B" w:rsidP="0091770B">
      <w:pPr>
        <w:spacing w:after="0"/>
        <w:jc w:val="both"/>
        <w:rPr>
          <w:rFonts w:cstheme="minorHAnsi"/>
          <w:b/>
        </w:rPr>
      </w:pPr>
      <w:r w:rsidRPr="00000714">
        <w:rPr>
          <w:rFonts w:cstheme="minorHAnsi"/>
          <w:b/>
        </w:rPr>
        <w:t>3.</w:t>
      </w:r>
      <w:r w:rsidRPr="00000714">
        <w:rPr>
          <w:rFonts w:cstheme="minorHAnsi"/>
          <w:b/>
        </w:rPr>
        <w:tab/>
        <w:t>Declarations of Interest</w:t>
      </w:r>
    </w:p>
    <w:p w14:paraId="240607AD" w14:textId="77777777" w:rsidR="0091770B" w:rsidRPr="00A34652" w:rsidRDefault="0091770B" w:rsidP="0091770B">
      <w:pPr>
        <w:spacing w:after="0"/>
        <w:ind w:firstLine="720"/>
        <w:jc w:val="both"/>
        <w:rPr>
          <w:rFonts w:cstheme="minorHAnsi"/>
        </w:rPr>
      </w:pPr>
      <w:r w:rsidRPr="00A34652">
        <w:rPr>
          <w:rFonts w:cstheme="minorHAnsi"/>
        </w:rPr>
        <w:t>Ann Baxter (AB)</w:t>
      </w:r>
      <w:r w:rsidRPr="005A0FBC">
        <w:rPr>
          <w:rFonts w:cstheme="minorHAnsi"/>
        </w:rPr>
        <w:t xml:space="preserve"> noted her membership of the AMCOL Board.</w:t>
      </w:r>
      <w:r w:rsidRPr="00A34652">
        <w:rPr>
          <w:rFonts w:cstheme="minorHAnsi"/>
        </w:rPr>
        <w:t xml:space="preserve">  </w:t>
      </w:r>
    </w:p>
    <w:p w14:paraId="16614733" w14:textId="77777777" w:rsidR="0091770B" w:rsidRPr="00A34652" w:rsidRDefault="0091770B" w:rsidP="0091770B">
      <w:pPr>
        <w:spacing w:after="0"/>
        <w:ind w:firstLine="720"/>
        <w:jc w:val="both"/>
        <w:rPr>
          <w:rFonts w:cstheme="minorHAnsi"/>
        </w:rPr>
      </w:pPr>
    </w:p>
    <w:p w14:paraId="2CF530B7" w14:textId="77777777" w:rsidR="0091770B" w:rsidRPr="00000714" w:rsidRDefault="0091770B" w:rsidP="0091770B">
      <w:pPr>
        <w:spacing w:after="0"/>
        <w:jc w:val="both"/>
        <w:rPr>
          <w:rFonts w:cstheme="minorHAnsi"/>
          <w:b/>
        </w:rPr>
      </w:pPr>
      <w:r w:rsidRPr="00000714">
        <w:rPr>
          <w:rFonts w:cstheme="minorHAnsi"/>
          <w:b/>
        </w:rPr>
        <w:t>4.</w:t>
      </w:r>
      <w:r w:rsidRPr="00000714">
        <w:rPr>
          <w:rFonts w:cstheme="minorHAnsi"/>
          <w:b/>
        </w:rPr>
        <w:tab/>
        <w:t>Minutes</w:t>
      </w:r>
    </w:p>
    <w:p w14:paraId="555AB75E" w14:textId="77777777" w:rsidR="0091770B" w:rsidRPr="00000714" w:rsidRDefault="0091770B" w:rsidP="0091770B">
      <w:pPr>
        <w:spacing w:after="0"/>
        <w:ind w:firstLine="720"/>
        <w:jc w:val="both"/>
        <w:rPr>
          <w:rFonts w:cstheme="minorHAnsi"/>
          <w:b/>
        </w:rPr>
      </w:pPr>
      <w:r w:rsidRPr="00000714">
        <w:rPr>
          <w:rFonts w:cstheme="minorHAnsi"/>
          <w:b/>
        </w:rPr>
        <w:t xml:space="preserve">Minutes of the RGP meeting of </w:t>
      </w:r>
      <w:r>
        <w:rPr>
          <w:rFonts w:cstheme="minorHAnsi"/>
          <w:b/>
        </w:rPr>
        <w:t>18 November 2024</w:t>
      </w:r>
    </w:p>
    <w:p w14:paraId="143977A7" w14:textId="77777777" w:rsidR="0091770B" w:rsidRDefault="0091770B" w:rsidP="0091770B">
      <w:pPr>
        <w:spacing w:after="0"/>
        <w:jc w:val="both"/>
        <w:rPr>
          <w:rFonts w:cstheme="minorHAnsi"/>
        </w:rPr>
      </w:pPr>
      <w:r w:rsidRPr="00000714">
        <w:rPr>
          <w:rFonts w:cstheme="minorHAnsi"/>
        </w:rPr>
        <w:tab/>
        <w:t>The minutes were agreed.</w:t>
      </w:r>
    </w:p>
    <w:p w14:paraId="7BB007B9" w14:textId="77777777" w:rsidR="0091770B" w:rsidRPr="00000714" w:rsidRDefault="0091770B" w:rsidP="0091770B">
      <w:pPr>
        <w:spacing w:after="0"/>
        <w:jc w:val="both"/>
        <w:rPr>
          <w:rFonts w:cstheme="minorHAnsi"/>
        </w:rPr>
      </w:pPr>
    </w:p>
    <w:p w14:paraId="2B253E0B" w14:textId="77777777" w:rsidR="0091770B" w:rsidRDefault="0091770B" w:rsidP="0091770B">
      <w:pPr>
        <w:spacing w:after="0"/>
        <w:jc w:val="both"/>
        <w:rPr>
          <w:rFonts w:cstheme="minorHAnsi"/>
          <w:b/>
        </w:rPr>
      </w:pPr>
      <w:r w:rsidRPr="00000714">
        <w:rPr>
          <w:rFonts w:cstheme="minorHAnsi"/>
          <w:b/>
        </w:rPr>
        <w:t>5.</w:t>
      </w:r>
      <w:r w:rsidRPr="00000714">
        <w:rPr>
          <w:rFonts w:cstheme="minorHAnsi"/>
          <w:b/>
        </w:rPr>
        <w:tab/>
        <w:t>Matters arising</w:t>
      </w:r>
      <w:r>
        <w:rPr>
          <w:rFonts w:cstheme="minorHAnsi"/>
          <w:b/>
        </w:rPr>
        <w:t>:</w:t>
      </w:r>
    </w:p>
    <w:p w14:paraId="4EC9ECF5" w14:textId="77777777" w:rsidR="0091770B" w:rsidRDefault="0091770B" w:rsidP="0091770B">
      <w:pPr>
        <w:spacing w:after="0"/>
        <w:ind w:left="720"/>
        <w:jc w:val="both"/>
        <w:rPr>
          <w:rFonts w:cstheme="minorHAnsi"/>
        </w:rPr>
      </w:pPr>
      <w:r>
        <w:rPr>
          <w:rFonts w:cstheme="minorHAnsi"/>
        </w:rPr>
        <w:t>There were no matters arising which were not included in the agenda.</w:t>
      </w:r>
    </w:p>
    <w:p w14:paraId="33945F5A" w14:textId="77777777" w:rsidR="0091770B" w:rsidRDefault="0091770B" w:rsidP="0091770B">
      <w:pPr>
        <w:spacing w:after="0"/>
        <w:ind w:left="720"/>
        <w:jc w:val="both"/>
        <w:rPr>
          <w:rFonts w:cstheme="minorHAnsi"/>
          <w:b/>
        </w:rPr>
      </w:pPr>
    </w:p>
    <w:p w14:paraId="5E1ACC32" w14:textId="77777777" w:rsidR="0091770B" w:rsidRPr="00FB3772" w:rsidRDefault="0091770B" w:rsidP="0091770B">
      <w:pPr>
        <w:spacing w:after="0" w:line="240" w:lineRule="auto"/>
        <w:ind w:left="720" w:hanging="720"/>
        <w:jc w:val="both"/>
        <w:rPr>
          <w:rFonts w:cstheme="minorHAnsi"/>
          <w:b/>
        </w:rPr>
      </w:pPr>
      <w:r>
        <w:rPr>
          <w:rFonts w:cstheme="minorHAnsi"/>
          <w:b/>
        </w:rPr>
        <w:t>5.1</w:t>
      </w:r>
      <w:r>
        <w:rPr>
          <w:rFonts w:cstheme="minorHAnsi"/>
          <w:b/>
        </w:rPr>
        <w:tab/>
      </w:r>
      <w:r w:rsidRPr="00FB3772">
        <w:rPr>
          <w:rFonts w:cstheme="minorHAnsi"/>
          <w:b/>
        </w:rPr>
        <w:t xml:space="preserve">Update on BTO: </w:t>
      </w:r>
    </w:p>
    <w:p w14:paraId="45188576" w14:textId="77777777" w:rsidR="0091770B" w:rsidRPr="004C0ED4" w:rsidRDefault="0091770B" w:rsidP="00F41591">
      <w:pPr>
        <w:spacing w:after="0" w:line="240" w:lineRule="auto"/>
        <w:ind w:left="720"/>
        <w:jc w:val="both"/>
        <w:rPr>
          <w:rFonts w:cstheme="minorHAnsi"/>
        </w:rPr>
      </w:pPr>
      <w:r w:rsidRPr="00FB3772">
        <w:rPr>
          <w:rFonts w:cstheme="minorHAnsi"/>
        </w:rPr>
        <w:t xml:space="preserve">KF </w:t>
      </w:r>
      <w:r w:rsidR="000B4F97">
        <w:rPr>
          <w:rFonts w:cstheme="minorHAnsi"/>
        </w:rPr>
        <w:t>reported that he had been in touch with Fraser Hopkins</w:t>
      </w:r>
      <w:r w:rsidR="0084554E">
        <w:rPr>
          <w:rFonts w:cstheme="minorHAnsi"/>
        </w:rPr>
        <w:t xml:space="preserve"> (FH) </w:t>
      </w:r>
      <w:r w:rsidR="000B4F97">
        <w:rPr>
          <w:rFonts w:cstheme="minorHAnsi"/>
        </w:rPr>
        <w:t xml:space="preserve">of BTO to find out if there had been any response from Burness </w:t>
      </w:r>
      <w:r w:rsidR="00686A5A">
        <w:rPr>
          <w:rFonts w:cstheme="minorHAnsi"/>
        </w:rPr>
        <w:t>Paul</w:t>
      </w:r>
      <w:r w:rsidR="000B4F97">
        <w:rPr>
          <w:rFonts w:cstheme="minorHAnsi"/>
        </w:rPr>
        <w:t xml:space="preserve"> </w:t>
      </w:r>
      <w:r w:rsidR="00805381" w:rsidRPr="004C0ED4">
        <w:rPr>
          <w:rFonts w:cstheme="minorHAnsi"/>
        </w:rPr>
        <w:t xml:space="preserve">(BP) </w:t>
      </w:r>
      <w:r w:rsidR="000B4F97" w:rsidRPr="004C0ED4">
        <w:rPr>
          <w:rFonts w:cstheme="minorHAnsi"/>
        </w:rPr>
        <w:t xml:space="preserve">to the college’s request for a meeting </w:t>
      </w:r>
      <w:r w:rsidR="00805381" w:rsidRPr="004C0ED4">
        <w:rPr>
          <w:rFonts w:cstheme="minorHAnsi"/>
        </w:rPr>
        <w:t xml:space="preserve">with Galliford Try </w:t>
      </w:r>
      <w:r w:rsidR="000B4F97" w:rsidRPr="004C0ED4">
        <w:rPr>
          <w:rFonts w:cstheme="minorHAnsi"/>
        </w:rPr>
        <w:t>to try to move things forward.</w:t>
      </w:r>
      <w:r w:rsidR="00805381" w:rsidRPr="004C0ED4">
        <w:rPr>
          <w:rFonts w:cstheme="minorHAnsi"/>
        </w:rPr>
        <w:t xml:space="preserve">  FH had advised that he had been attempting to secure such a response, but because of his counterpart at BP being on holiday, he had been unable to do this ahead of today’s RGP meeting.  </w:t>
      </w:r>
      <w:r w:rsidR="00D90149" w:rsidRPr="004C0ED4">
        <w:rPr>
          <w:rFonts w:cstheme="minorHAnsi"/>
        </w:rPr>
        <w:t xml:space="preserve">Previously, </w:t>
      </w:r>
      <w:r w:rsidR="00805381" w:rsidRPr="004C0ED4">
        <w:rPr>
          <w:rFonts w:cstheme="minorHAnsi"/>
        </w:rPr>
        <w:t>BP</w:t>
      </w:r>
      <w:r w:rsidR="00D90149" w:rsidRPr="004C0ED4">
        <w:rPr>
          <w:rFonts w:cstheme="minorHAnsi"/>
        </w:rPr>
        <w:t xml:space="preserve"> had noted that its client, Galliford Try, was continuing to try to reach agreement with its sub-contractors on a shared proposal that would then be put to the College.  In turn, the College had asked what had encouraged Galliford Try to do this, given that it had been stated before that the sub-contractors were not of a mind to do this. </w:t>
      </w:r>
      <w:r w:rsidR="00805381" w:rsidRPr="004C0ED4">
        <w:rPr>
          <w:rFonts w:cstheme="minorHAnsi"/>
        </w:rPr>
        <w:t xml:space="preserve"> </w:t>
      </w:r>
      <w:r w:rsidR="00D90149" w:rsidRPr="004C0ED4">
        <w:rPr>
          <w:rFonts w:cstheme="minorHAnsi"/>
        </w:rPr>
        <w:t xml:space="preserve">While </w:t>
      </w:r>
      <w:r w:rsidR="0084554E" w:rsidRPr="004C0ED4">
        <w:rPr>
          <w:rFonts w:cstheme="minorHAnsi"/>
        </w:rPr>
        <w:t xml:space="preserve">FH </w:t>
      </w:r>
      <w:r w:rsidR="00D90149" w:rsidRPr="004C0ED4">
        <w:rPr>
          <w:rFonts w:cstheme="minorHAnsi"/>
        </w:rPr>
        <w:t xml:space="preserve">will </w:t>
      </w:r>
      <w:r w:rsidR="0084554E" w:rsidRPr="004C0ED4">
        <w:rPr>
          <w:rFonts w:cstheme="minorHAnsi"/>
        </w:rPr>
        <w:t xml:space="preserve">continue to pursue Burness </w:t>
      </w:r>
      <w:r w:rsidR="00686A5A" w:rsidRPr="004C0ED4">
        <w:rPr>
          <w:rFonts w:cstheme="minorHAnsi"/>
        </w:rPr>
        <w:t>Paul</w:t>
      </w:r>
      <w:r w:rsidR="00D90149" w:rsidRPr="004C0ED4">
        <w:rPr>
          <w:rFonts w:cstheme="minorHAnsi"/>
        </w:rPr>
        <w:t xml:space="preserve">, </w:t>
      </w:r>
      <w:r w:rsidR="0084554E" w:rsidRPr="004C0ED4">
        <w:rPr>
          <w:rFonts w:cstheme="minorHAnsi"/>
        </w:rPr>
        <w:t>the current sist expires on Friday 28 February</w:t>
      </w:r>
      <w:r w:rsidR="00D90149" w:rsidRPr="004C0ED4">
        <w:rPr>
          <w:rFonts w:cstheme="minorHAnsi"/>
        </w:rPr>
        <w:t xml:space="preserve"> and </w:t>
      </w:r>
      <w:r w:rsidR="0084554E" w:rsidRPr="004C0ED4">
        <w:rPr>
          <w:rFonts w:cstheme="minorHAnsi"/>
        </w:rPr>
        <w:t xml:space="preserve">KF </w:t>
      </w:r>
      <w:r w:rsidR="00D90149" w:rsidRPr="004C0ED4">
        <w:rPr>
          <w:rFonts w:cstheme="minorHAnsi"/>
        </w:rPr>
        <w:t xml:space="preserve">has </w:t>
      </w:r>
      <w:r w:rsidR="0084554E" w:rsidRPr="004C0ED4">
        <w:rPr>
          <w:rFonts w:cstheme="minorHAnsi"/>
        </w:rPr>
        <w:t>instructed FH to seek a further 3 month extension.</w:t>
      </w:r>
    </w:p>
    <w:p w14:paraId="58C4DDE7" w14:textId="77777777" w:rsidR="00F41591" w:rsidRDefault="00F41591" w:rsidP="00F41591">
      <w:pPr>
        <w:spacing w:after="0" w:line="240" w:lineRule="auto"/>
        <w:ind w:left="720"/>
        <w:jc w:val="both"/>
        <w:rPr>
          <w:rFonts w:cstheme="minorHAnsi"/>
        </w:rPr>
      </w:pPr>
    </w:p>
    <w:p w14:paraId="25EA842A" w14:textId="2D0CA501" w:rsidR="0091770B" w:rsidRPr="00445B9D" w:rsidRDefault="00445B9D" w:rsidP="0091770B">
      <w:pPr>
        <w:spacing w:after="0" w:line="240" w:lineRule="auto"/>
        <w:ind w:left="720"/>
        <w:jc w:val="both"/>
        <w:rPr>
          <w:rFonts w:cstheme="minorHAnsi"/>
          <w:color w:val="FF0000"/>
        </w:rPr>
      </w:pPr>
      <w:r w:rsidRPr="00445B9D">
        <w:rPr>
          <w:rFonts w:cstheme="minorHAnsi"/>
          <w:color w:val="FF0000"/>
        </w:rPr>
        <w:t>Redaction: Two paragraphs are redacted due to commercial sensit</w:t>
      </w:r>
      <w:r>
        <w:rPr>
          <w:rFonts w:cstheme="minorHAnsi"/>
          <w:color w:val="FF0000"/>
        </w:rPr>
        <w:t>i</w:t>
      </w:r>
      <w:r w:rsidRPr="00445B9D">
        <w:rPr>
          <w:rFonts w:cstheme="minorHAnsi"/>
          <w:color w:val="FF0000"/>
        </w:rPr>
        <w:t>vity</w:t>
      </w:r>
      <w:r>
        <w:rPr>
          <w:rFonts w:cstheme="minorHAnsi"/>
          <w:color w:val="FF0000"/>
        </w:rPr>
        <w:t>.</w:t>
      </w:r>
    </w:p>
    <w:p w14:paraId="5BF62CF5" w14:textId="77777777" w:rsidR="00445B9D" w:rsidRDefault="00445B9D" w:rsidP="0091770B">
      <w:pPr>
        <w:spacing w:after="0" w:line="240" w:lineRule="auto"/>
        <w:ind w:left="720"/>
        <w:jc w:val="both"/>
        <w:rPr>
          <w:rFonts w:cstheme="minorHAnsi"/>
        </w:rPr>
      </w:pPr>
    </w:p>
    <w:p w14:paraId="30DCF535" w14:textId="612823E7" w:rsidR="00E95E5E" w:rsidRDefault="00E95E5E" w:rsidP="0091770B">
      <w:pPr>
        <w:spacing w:after="0" w:line="240" w:lineRule="auto"/>
        <w:ind w:left="720"/>
        <w:jc w:val="both"/>
        <w:rPr>
          <w:rFonts w:cstheme="minorHAnsi"/>
        </w:rPr>
      </w:pPr>
      <w:r>
        <w:rPr>
          <w:rFonts w:cstheme="minorHAnsi"/>
        </w:rPr>
        <w:t xml:space="preserve">CM advised the RGP of the recent sudden death of Ciaran O’Neill, Academic Leader, who had provided legal advice to the college and the RGP in the earlier stages of the dispute with Burness </w:t>
      </w:r>
      <w:r w:rsidR="00686A5A">
        <w:rPr>
          <w:rFonts w:cstheme="minorHAnsi"/>
        </w:rPr>
        <w:t>Paul</w:t>
      </w:r>
      <w:r>
        <w:rPr>
          <w:rFonts w:cstheme="minorHAnsi"/>
        </w:rPr>
        <w:t>.  CM said that Ciaran was a valued and respected colleague and his untimely death had been a shock to the college.</w:t>
      </w:r>
    </w:p>
    <w:p w14:paraId="27B7C3B4" w14:textId="77777777" w:rsidR="00E95E5E" w:rsidRPr="00FB3772" w:rsidRDefault="00E95E5E" w:rsidP="00417B4F">
      <w:pPr>
        <w:spacing w:after="0" w:line="240" w:lineRule="auto"/>
        <w:jc w:val="both"/>
        <w:rPr>
          <w:rFonts w:cstheme="minorHAnsi"/>
        </w:rPr>
      </w:pPr>
    </w:p>
    <w:p w14:paraId="4FDB94E0" w14:textId="77777777" w:rsidR="00570F1C" w:rsidRPr="00FB3772" w:rsidRDefault="0091770B" w:rsidP="0091770B">
      <w:pPr>
        <w:spacing w:after="0" w:line="240" w:lineRule="auto"/>
        <w:jc w:val="both"/>
        <w:rPr>
          <w:rFonts w:cstheme="minorHAnsi"/>
        </w:rPr>
      </w:pPr>
      <w:r w:rsidRPr="00FB3772">
        <w:rPr>
          <w:rFonts w:cstheme="minorHAnsi"/>
          <w:b/>
        </w:rPr>
        <w:t>5.2</w:t>
      </w:r>
      <w:r w:rsidRPr="00FB3772">
        <w:rPr>
          <w:rFonts w:cstheme="minorHAnsi"/>
          <w:b/>
        </w:rPr>
        <w:tab/>
        <w:t>AMCOL Nursery update</w:t>
      </w:r>
      <w:r w:rsidRPr="00FB3772">
        <w:rPr>
          <w:rFonts w:cstheme="minorHAnsi"/>
        </w:rPr>
        <w:t>:</w:t>
      </w:r>
    </w:p>
    <w:p w14:paraId="35EB2FF7" w14:textId="77777777" w:rsidR="0091770B" w:rsidRPr="00570F1C" w:rsidRDefault="0091770B" w:rsidP="0091770B">
      <w:pPr>
        <w:spacing w:after="0" w:line="240" w:lineRule="auto"/>
        <w:ind w:left="720"/>
        <w:jc w:val="both"/>
        <w:rPr>
          <w:rFonts w:cstheme="minorHAnsi"/>
        </w:rPr>
      </w:pPr>
      <w:r w:rsidRPr="00570F1C">
        <w:rPr>
          <w:rFonts w:cstheme="minorHAnsi"/>
        </w:rPr>
        <w:t>AB gave an update:</w:t>
      </w:r>
    </w:p>
    <w:p w14:paraId="1A9BE15D" w14:textId="77777777" w:rsidR="00570F1C" w:rsidRPr="00570F1C" w:rsidRDefault="00570F1C" w:rsidP="00570F1C">
      <w:pPr>
        <w:ind w:left="720"/>
      </w:pPr>
      <w:r w:rsidRPr="00570F1C">
        <w:t xml:space="preserve">The last AMCOL Board meeting was held on 3 December 2024. </w:t>
      </w:r>
    </w:p>
    <w:p w14:paraId="69215CF6" w14:textId="77777777" w:rsidR="00570F1C" w:rsidRPr="00570F1C" w:rsidRDefault="00570F1C" w:rsidP="00990152">
      <w:pPr>
        <w:ind w:left="720"/>
      </w:pPr>
      <w:r w:rsidRPr="00570F1C">
        <w:lastRenderedPageBreak/>
        <w:t>There has not yet been a follow-up visit following t</w:t>
      </w:r>
      <w:r w:rsidRPr="00570F1C">
        <w:rPr>
          <w:rFonts w:cstheme="minorHAnsi"/>
        </w:rPr>
        <w:t>he value and condition survey of Meiklewood nursery</w:t>
      </w:r>
      <w:r>
        <w:rPr>
          <w:rFonts w:cstheme="minorHAnsi"/>
        </w:rPr>
        <w:t>.</w:t>
      </w:r>
    </w:p>
    <w:p w14:paraId="3FF841B4" w14:textId="77777777" w:rsidR="00570F1C" w:rsidRPr="00990152" w:rsidRDefault="00570F1C" w:rsidP="00990152">
      <w:pPr>
        <w:spacing w:after="0"/>
        <w:ind w:left="720"/>
        <w:jc w:val="both"/>
      </w:pPr>
      <w:r w:rsidRPr="00570F1C">
        <w:rPr>
          <w:b/>
        </w:rPr>
        <w:t>Service Level Agreement</w:t>
      </w:r>
      <w:r>
        <w:t>.  The college has been seeking t</w:t>
      </w:r>
      <w:r w:rsidRPr="00570F1C">
        <w:t>o establish if</w:t>
      </w:r>
      <w:r w:rsidR="00A96903">
        <w:t xml:space="preserve"> an</w:t>
      </w:r>
      <w:r w:rsidRPr="00570F1C">
        <w:t xml:space="preserve"> SLA existed between </w:t>
      </w:r>
      <w:r w:rsidRPr="00990152">
        <w:t>college and AMCOL.</w:t>
      </w:r>
    </w:p>
    <w:p w14:paraId="31FD654B" w14:textId="026D2C66" w:rsidR="00570F1C" w:rsidRDefault="00570F1C" w:rsidP="00990152">
      <w:pPr>
        <w:spacing w:after="0"/>
        <w:ind w:left="720"/>
        <w:jc w:val="both"/>
      </w:pPr>
      <w:r w:rsidRPr="00990152">
        <w:t>Following discussion with Anderson Strathern, a review of the articles of association of AMCOL as adopted on 19 June 2008 was undertaken on behalf of New College Lanarkshire.</w:t>
      </w:r>
    </w:p>
    <w:p w14:paraId="314D081E" w14:textId="733D302E" w:rsidR="00984215" w:rsidRDefault="00984215" w:rsidP="00990152">
      <w:pPr>
        <w:spacing w:after="0"/>
        <w:ind w:left="720"/>
        <w:jc w:val="both"/>
      </w:pPr>
    </w:p>
    <w:p w14:paraId="0D6E37EB" w14:textId="77271063" w:rsidR="00984215" w:rsidRPr="00984215" w:rsidRDefault="00984215" w:rsidP="00990152">
      <w:pPr>
        <w:spacing w:after="0"/>
        <w:ind w:left="720"/>
        <w:jc w:val="both"/>
        <w:rPr>
          <w:color w:val="FF0000"/>
        </w:rPr>
      </w:pPr>
      <w:r w:rsidRPr="00984215">
        <w:rPr>
          <w:color w:val="FF0000"/>
        </w:rPr>
        <w:t>The key observations are redacted due to commercial sensitivity.</w:t>
      </w:r>
    </w:p>
    <w:p w14:paraId="3FEF8C26" w14:textId="73DD0DF4" w:rsidR="00570F1C" w:rsidRPr="00990152" w:rsidRDefault="00570F1C" w:rsidP="00151706">
      <w:pPr>
        <w:spacing w:after="0"/>
        <w:jc w:val="both"/>
      </w:pPr>
    </w:p>
    <w:p w14:paraId="63E07115" w14:textId="77777777" w:rsidR="00570F1C" w:rsidRPr="00990152" w:rsidRDefault="00570F1C" w:rsidP="00151706">
      <w:pPr>
        <w:spacing w:after="0"/>
        <w:ind w:left="720"/>
        <w:jc w:val="both"/>
      </w:pPr>
      <w:r w:rsidRPr="00990152">
        <w:t xml:space="preserve">Following the Finance Committee </w:t>
      </w:r>
      <w:r w:rsidR="00151706">
        <w:t xml:space="preserve">in </w:t>
      </w:r>
      <w:r w:rsidRPr="00990152">
        <w:t xml:space="preserve">May 2024, the protocol for AMCOL Cash Transfers and SFC Cash Advances was agreed, namely that any AMCOL Cash Transfers over £500,000 required formal Finance Committee approval and Board notification, and any SFC Advance Funding required Finance Committee and Board notification. As presented at the September 2024 and November </w:t>
      </w:r>
      <w:bookmarkStart w:id="0" w:name="_GoBack"/>
      <w:bookmarkEnd w:id="0"/>
      <w:r w:rsidRPr="00990152">
        <w:t xml:space="preserve">2024 Finance Committees, the summary Cash Flow Projections indicated both an AMCOL Cash Transfer and an SFC Cash Advance to the College would be required by March 2025. Following ongoing reviews of </w:t>
      </w:r>
      <w:r w:rsidR="00151706">
        <w:t>the c</w:t>
      </w:r>
      <w:r w:rsidRPr="00990152">
        <w:t>ash position this was still the case.</w:t>
      </w:r>
    </w:p>
    <w:p w14:paraId="345F2652" w14:textId="77777777" w:rsidR="00570F1C" w:rsidRPr="00990152" w:rsidRDefault="00570F1C" w:rsidP="00A96903">
      <w:pPr>
        <w:spacing w:after="0"/>
        <w:ind w:left="720"/>
        <w:jc w:val="both"/>
      </w:pPr>
      <w:r w:rsidRPr="00990152">
        <w:t>To this end the Finance Committee w</w:t>
      </w:r>
      <w:r w:rsidR="00151706">
        <w:t xml:space="preserve">as </w:t>
      </w:r>
      <w:r w:rsidRPr="00990152">
        <w:t>asked to formally approve a request for the transfer of £2m from AMCOL no later than 3rd March 202</w:t>
      </w:r>
      <w:r w:rsidR="00151706">
        <w:t xml:space="preserve">5. </w:t>
      </w:r>
      <w:r w:rsidRPr="00990152">
        <w:t xml:space="preserve"> On 3 February 2025 Celia Devine, Managing Director for AMCOL confirmed the funds transfer of £2 million from AMCOL to NCL.</w:t>
      </w:r>
    </w:p>
    <w:p w14:paraId="414DDCA6" w14:textId="77777777" w:rsidR="00570F1C" w:rsidRDefault="00570F1C" w:rsidP="00B70AF4">
      <w:pPr>
        <w:spacing w:after="0" w:line="240" w:lineRule="auto"/>
        <w:jc w:val="both"/>
        <w:rPr>
          <w:rFonts w:cstheme="minorHAnsi"/>
        </w:rPr>
      </w:pPr>
    </w:p>
    <w:p w14:paraId="6316A35F" w14:textId="77777777" w:rsidR="00B70AF4" w:rsidRDefault="00B70AF4" w:rsidP="00B70AF4">
      <w:pPr>
        <w:spacing w:after="0" w:line="240" w:lineRule="auto"/>
        <w:ind w:left="720"/>
        <w:jc w:val="both"/>
        <w:rPr>
          <w:rFonts w:cstheme="minorHAnsi"/>
        </w:rPr>
      </w:pPr>
      <w:r>
        <w:rPr>
          <w:rFonts w:cstheme="minorHAnsi"/>
        </w:rPr>
        <w:t>KF remarked on the importance for the redrafting of the Articles of Association and the Service Level Agreement between NCL and AMCOL.</w:t>
      </w:r>
      <w:r w:rsidR="006E0CB2">
        <w:rPr>
          <w:rFonts w:cstheme="minorHAnsi"/>
        </w:rPr>
        <w:t xml:space="preserve">  He said that the current position is not sustainable.</w:t>
      </w:r>
    </w:p>
    <w:p w14:paraId="76864FE5" w14:textId="77777777" w:rsidR="006E0CB2" w:rsidRDefault="006E0CB2" w:rsidP="00B70AF4">
      <w:pPr>
        <w:spacing w:after="0" w:line="240" w:lineRule="auto"/>
        <w:ind w:left="720"/>
        <w:jc w:val="both"/>
        <w:rPr>
          <w:rFonts w:cstheme="minorHAnsi"/>
        </w:rPr>
      </w:pPr>
    </w:p>
    <w:p w14:paraId="19B402F9" w14:textId="77777777" w:rsidR="006E0CB2" w:rsidRDefault="006E0CB2" w:rsidP="006215AC">
      <w:pPr>
        <w:spacing w:after="0" w:line="240" w:lineRule="auto"/>
        <w:ind w:left="720"/>
        <w:jc w:val="both"/>
        <w:rPr>
          <w:rFonts w:cstheme="minorHAnsi"/>
        </w:rPr>
      </w:pPr>
      <w:r>
        <w:rPr>
          <w:rFonts w:cstheme="minorHAnsi"/>
        </w:rPr>
        <w:t xml:space="preserve">Christopher Moore (CM) said that the college should act quickly as to date AMCOL has not initiated any revision of the documents.  He commented that the college </w:t>
      </w:r>
      <w:r w:rsidR="006215AC">
        <w:rPr>
          <w:rFonts w:cstheme="minorHAnsi"/>
        </w:rPr>
        <w:t>should</w:t>
      </w:r>
      <w:r>
        <w:rPr>
          <w:rFonts w:cstheme="minorHAnsi"/>
        </w:rPr>
        <w:t xml:space="preserve"> take the lead </w:t>
      </w:r>
      <w:r w:rsidR="006215AC">
        <w:rPr>
          <w:rFonts w:cstheme="minorHAnsi"/>
        </w:rPr>
        <w:t xml:space="preserve">and instruct its lawyers to draft alternative SLA and Articles of Association for consideration by the Board.  (AMCOL reports direct to the Board not to the Principal and Executive Board).  </w:t>
      </w:r>
    </w:p>
    <w:p w14:paraId="29E2CAD2" w14:textId="77777777" w:rsidR="006E0CB2" w:rsidRDefault="006E0CB2" w:rsidP="00B70AF4">
      <w:pPr>
        <w:spacing w:after="0" w:line="240" w:lineRule="auto"/>
        <w:ind w:left="720"/>
        <w:jc w:val="both"/>
        <w:rPr>
          <w:rFonts w:cstheme="minorHAnsi"/>
        </w:rPr>
      </w:pPr>
    </w:p>
    <w:p w14:paraId="7C8BB540" w14:textId="77777777" w:rsidR="006E0CB2" w:rsidRDefault="006E0CB2" w:rsidP="00B70AF4">
      <w:pPr>
        <w:spacing w:after="0" w:line="240" w:lineRule="auto"/>
        <w:ind w:left="720"/>
        <w:jc w:val="both"/>
        <w:rPr>
          <w:rFonts w:cstheme="minorHAnsi"/>
        </w:rPr>
      </w:pPr>
      <w:r>
        <w:rPr>
          <w:rFonts w:cstheme="minorHAnsi"/>
        </w:rPr>
        <w:t>AB advised that she has a meeting with Celia Devine in the coming days</w:t>
      </w:r>
      <w:r w:rsidR="006215AC">
        <w:rPr>
          <w:rFonts w:cstheme="minorHAnsi"/>
        </w:rPr>
        <w:t xml:space="preserve"> and will discuss the situation further.</w:t>
      </w:r>
    </w:p>
    <w:p w14:paraId="16B545B9" w14:textId="77777777" w:rsidR="006215AC" w:rsidRDefault="006215AC" w:rsidP="00B70AF4">
      <w:pPr>
        <w:spacing w:after="0" w:line="240" w:lineRule="auto"/>
        <w:ind w:left="720"/>
        <w:jc w:val="both"/>
        <w:rPr>
          <w:rFonts w:cstheme="minorHAnsi"/>
        </w:rPr>
      </w:pPr>
    </w:p>
    <w:p w14:paraId="43408C38" w14:textId="2E4761C9" w:rsidR="006215AC" w:rsidRPr="006215AC" w:rsidRDefault="006215AC" w:rsidP="006215AC">
      <w:pPr>
        <w:pBdr>
          <w:top w:val="single" w:sz="4" w:space="1" w:color="auto"/>
          <w:left w:val="single" w:sz="4" w:space="4" w:color="auto"/>
          <w:bottom w:val="single" w:sz="4" w:space="1" w:color="auto"/>
          <w:right w:val="single" w:sz="4" w:space="4" w:color="auto"/>
        </w:pBdr>
        <w:spacing w:after="0" w:line="240" w:lineRule="auto"/>
        <w:jc w:val="both"/>
        <w:rPr>
          <w:rFonts w:cstheme="minorHAnsi"/>
          <w:b/>
          <w:i/>
        </w:rPr>
      </w:pPr>
      <w:r w:rsidRPr="006215AC">
        <w:rPr>
          <w:rFonts w:cstheme="minorHAnsi"/>
          <w:b/>
          <w:i/>
        </w:rPr>
        <w:t>Action:  NCL to instruct lawyers to d</w:t>
      </w:r>
      <w:r w:rsidR="0057034D">
        <w:rPr>
          <w:rFonts w:cstheme="minorHAnsi"/>
          <w:b/>
          <w:i/>
        </w:rPr>
        <w:t>r</w:t>
      </w:r>
      <w:r w:rsidRPr="006215AC">
        <w:rPr>
          <w:rFonts w:cstheme="minorHAnsi"/>
          <w:b/>
          <w:i/>
        </w:rPr>
        <w:t>aft alternative SLA and Articles of Association for the Board to consider</w:t>
      </w:r>
    </w:p>
    <w:p w14:paraId="1E501B29" w14:textId="77777777" w:rsidR="00570F1C" w:rsidRPr="00FB3772" w:rsidRDefault="00570F1C" w:rsidP="0091770B">
      <w:pPr>
        <w:spacing w:after="0" w:line="240" w:lineRule="auto"/>
        <w:ind w:left="720"/>
        <w:jc w:val="both"/>
        <w:rPr>
          <w:rFonts w:cstheme="minorHAnsi"/>
        </w:rPr>
      </w:pPr>
    </w:p>
    <w:p w14:paraId="022EAD12" w14:textId="77777777" w:rsidR="007B334E" w:rsidRPr="00FB3772" w:rsidRDefault="0091770B" w:rsidP="0091770B">
      <w:pPr>
        <w:spacing w:after="0" w:line="240" w:lineRule="auto"/>
        <w:jc w:val="both"/>
        <w:rPr>
          <w:rFonts w:cstheme="minorHAnsi"/>
          <w:b/>
        </w:rPr>
      </w:pPr>
      <w:r w:rsidRPr="00FB3772">
        <w:rPr>
          <w:rFonts w:cstheme="minorHAnsi"/>
          <w:b/>
        </w:rPr>
        <w:t>5.3</w:t>
      </w:r>
      <w:r w:rsidRPr="00FB3772">
        <w:rPr>
          <w:rFonts w:cstheme="minorHAnsi"/>
          <w:b/>
        </w:rPr>
        <w:tab/>
      </w:r>
      <w:r w:rsidR="007B334E">
        <w:rPr>
          <w:rFonts w:cstheme="minorHAnsi"/>
          <w:b/>
        </w:rPr>
        <w:t>ICT Update</w:t>
      </w:r>
    </w:p>
    <w:p w14:paraId="53B22F5B" w14:textId="77777777" w:rsidR="008F289C" w:rsidRDefault="008F289C" w:rsidP="00D278AB">
      <w:pPr>
        <w:spacing w:after="0" w:line="240" w:lineRule="auto"/>
        <w:ind w:left="720"/>
        <w:jc w:val="both"/>
        <w:rPr>
          <w:rFonts w:cstheme="minorHAnsi"/>
        </w:rPr>
      </w:pPr>
      <w:r>
        <w:rPr>
          <w:rFonts w:cstheme="minorHAnsi"/>
        </w:rPr>
        <w:t>In response to KF’s question as to whether Kirkintilloch and Broadwood figures were included in the update given to the last meeting of the RGP, Ronnie Gilmour (RG) assured KF that he had checked on this as requested and confirmed that both minor campuses</w:t>
      </w:r>
      <w:r w:rsidR="00FA2B2D">
        <w:rPr>
          <w:rFonts w:cstheme="minorHAnsi"/>
        </w:rPr>
        <w:t>’</w:t>
      </w:r>
      <w:r>
        <w:rPr>
          <w:rFonts w:cstheme="minorHAnsi"/>
        </w:rPr>
        <w:t xml:space="preserve"> figures were included.</w:t>
      </w:r>
    </w:p>
    <w:p w14:paraId="75CF8927" w14:textId="77777777" w:rsidR="0091770B" w:rsidRPr="00FB3772" w:rsidRDefault="0091770B" w:rsidP="00D278AB">
      <w:pPr>
        <w:spacing w:after="0" w:line="240" w:lineRule="auto"/>
        <w:jc w:val="both"/>
        <w:rPr>
          <w:rFonts w:cstheme="minorHAnsi"/>
          <w:b/>
        </w:rPr>
      </w:pPr>
    </w:p>
    <w:p w14:paraId="35CD9EDF" w14:textId="77777777" w:rsidR="0091770B" w:rsidRPr="00FB3772" w:rsidRDefault="0091770B" w:rsidP="00D278AB">
      <w:pPr>
        <w:spacing w:after="0" w:line="240" w:lineRule="auto"/>
        <w:jc w:val="both"/>
        <w:rPr>
          <w:rFonts w:cstheme="minorHAnsi"/>
          <w:color w:val="FF0000"/>
        </w:rPr>
      </w:pPr>
      <w:r w:rsidRPr="00FB3772">
        <w:rPr>
          <w:rFonts w:cstheme="minorHAnsi"/>
          <w:b/>
        </w:rPr>
        <w:t>6.</w:t>
      </w:r>
      <w:r w:rsidRPr="00FB3772">
        <w:rPr>
          <w:rFonts w:cstheme="minorHAnsi"/>
          <w:b/>
        </w:rPr>
        <w:tab/>
        <w:t>Cumbernauld campus nursery:</w:t>
      </w:r>
    </w:p>
    <w:p w14:paraId="2C5494AC" w14:textId="77777777" w:rsidR="008F289C" w:rsidRPr="00D278AB" w:rsidRDefault="0091770B" w:rsidP="00D278AB">
      <w:pPr>
        <w:spacing w:line="240" w:lineRule="auto"/>
        <w:ind w:left="720"/>
        <w:jc w:val="both"/>
        <w:rPr>
          <w:rFonts w:cstheme="minorHAnsi"/>
        </w:rPr>
      </w:pPr>
      <w:r w:rsidRPr="00D278AB">
        <w:rPr>
          <w:rFonts w:cstheme="minorHAnsi"/>
        </w:rPr>
        <w:t xml:space="preserve">AB advised the RGP </w:t>
      </w:r>
      <w:r w:rsidR="008F289C" w:rsidRPr="00D278AB">
        <w:rPr>
          <w:rFonts w:cstheme="minorHAnsi"/>
        </w:rPr>
        <w:t>that n</w:t>
      </w:r>
      <w:r w:rsidR="008F289C" w:rsidRPr="00D278AB">
        <w:rPr>
          <w:rFonts w:ascii="Calibri" w:eastAsia="Calibri" w:hAnsi="Calibri" w:cs="Times New Roman"/>
        </w:rPr>
        <w:t>umbers are continuing to increase in all rooms. In terms of places, the 0 - 2, and 2 - 3 rooms are full and the 3 - 5 room is sitting at 73% at the moment. This will increase to 79% by Easter. Looking at the whole Nursery, 79% of places are filled and this will increase to 84% by April. There is a waiting list for both under 3 rooms. Children are continuing to move rooms, which is increasing occupancy in the 3 - 5 room and the Nursery will be able to offer places for the under 3 rooms on an ongoing basis. There are also children increasing their days and/or hours as they are now eligible for Council Funding, which will increase further in the term after Easter.</w:t>
      </w:r>
    </w:p>
    <w:p w14:paraId="43D86526" w14:textId="77777777" w:rsidR="008F289C" w:rsidRPr="00D278AB" w:rsidRDefault="008F289C" w:rsidP="00D278AB">
      <w:pPr>
        <w:ind w:left="720"/>
        <w:jc w:val="both"/>
        <w:rPr>
          <w:rFonts w:ascii="Calibri" w:eastAsia="Calibri" w:hAnsi="Calibri" w:cs="Times New Roman"/>
        </w:rPr>
      </w:pPr>
      <w:r w:rsidRPr="00D278AB">
        <w:rPr>
          <w:rFonts w:ascii="Calibri" w:eastAsia="Calibri" w:hAnsi="Calibri" w:cs="Times New Roman"/>
        </w:rPr>
        <w:t>Occupancy comparative based on places</w:t>
      </w:r>
    </w:p>
    <w:tbl>
      <w:tblPr>
        <w:tblStyle w:val="TableGrid1"/>
        <w:tblW w:w="8925" w:type="dxa"/>
        <w:tblInd w:w="720" w:type="dxa"/>
        <w:tblLook w:val="04A0" w:firstRow="1" w:lastRow="0" w:firstColumn="1" w:lastColumn="0" w:noHBand="0" w:noVBand="1"/>
      </w:tblPr>
      <w:tblGrid>
        <w:gridCol w:w="1696"/>
        <w:gridCol w:w="1418"/>
        <w:gridCol w:w="1276"/>
        <w:gridCol w:w="1417"/>
        <w:gridCol w:w="1701"/>
        <w:gridCol w:w="1417"/>
      </w:tblGrid>
      <w:tr w:rsidR="008F289C" w:rsidRPr="00D278AB" w14:paraId="3C5F474D" w14:textId="77777777" w:rsidTr="00D278AB">
        <w:tc>
          <w:tcPr>
            <w:tcW w:w="1696" w:type="dxa"/>
          </w:tcPr>
          <w:p w14:paraId="5FAD3466" w14:textId="77777777" w:rsidR="008F289C" w:rsidRPr="00D278AB" w:rsidRDefault="008F289C" w:rsidP="00D278AB">
            <w:pPr>
              <w:jc w:val="both"/>
              <w:rPr>
                <w:rFonts w:ascii="Calibri" w:eastAsia="Calibri" w:hAnsi="Calibri" w:cs="Times New Roman"/>
              </w:rPr>
            </w:pPr>
          </w:p>
        </w:tc>
        <w:tc>
          <w:tcPr>
            <w:tcW w:w="1418" w:type="dxa"/>
          </w:tcPr>
          <w:p w14:paraId="12C025D8" w14:textId="77777777" w:rsidR="008F289C" w:rsidRPr="00D278AB" w:rsidRDefault="008F289C" w:rsidP="00D278AB">
            <w:pPr>
              <w:jc w:val="both"/>
              <w:rPr>
                <w:rFonts w:ascii="Calibri" w:eastAsia="Calibri" w:hAnsi="Calibri" w:cs="Times New Roman"/>
              </w:rPr>
            </w:pPr>
            <w:r w:rsidRPr="00D278AB">
              <w:rPr>
                <w:rFonts w:ascii="Calibri" w:eastAsia="Calibri" w:hAnsi="Calibri" w:cs="Times New Roman"/>
              </w:rPr>
              <w:t>Aug 23</w:t>
            </w:r>
          </w:p>
        </w:tc>
        <w:tc>
          <w:tcPr>
            <w:tcW w:w="1276" w:type="dxa"/>
          </w:tcPr>
          <w:p w14:paraId="70787B73" w14:textId="77777777" w:rsidR="008F289C" w:rsidRPr="00D278AB" w:rsidRDefault="008F289C" w:rsidP="00D278AB">
            <w:pPr>
              <w:jc w:val="both"/>
              <w:rPr>
                <w:rFonts w:ascii="Calibri" w:eastAsia="Calibri" w:hAnsi="Calibri" w:cs="Times New Roman"/>
              </w:rPr>
            </w:pPr>
            <w:r w:rsidRPr="00D278AB">
              <w:rPr>
                <w:rFonts w:ascii="Calibri" w:eastAsia="Calibri" w:hAnsi="Calibri" w:cs="Times New Roman"/>
              </w:rPr>
              <w:t>Jun 24</w:t>
            </w:r>
          </w:p>
        </w:tc>
        <w:tc>
          <w:tcPr>
            <w:tcW w:w="1417" w:type="dxa"/>
          </w:tcPr>
          <w:p w14:paraId="5924DC84" w14:textId="77777777" w:rsidR="008F289C" w:rsidRPr="00D278AB" w:rsidRDefault="008F289C" w:rsidP="00D278AB">
            <w:pPr>
              <w:jc w:val="both"/>
              <w:rPr>
                <w:rFonts w:ascii="Calibri" w:eastAsia="Calibri" w:hAnsi="Calibri" w:cs="Times New Roman"/>
              </w:rPr>
            </w:pPr>
            <w:r w:rsidRPr="00D278AB">
              <w:rPr>
                <w:rFonts w:ascii="Calibri" w:eastAsia="Calibri" w:hAnsi="Calibri" w:cs="Times New Roman"/>
              </w:rPr>
              <w:t>Aug 24</w:t>
            </w:r>
          </w:p>
        </w:tc>
        <w:tc>
          <w:tcPr>
            <w:tcW w:w="1701" w:type="dxa"/>
          </w:tcPr>
          <w:p w14:paraId="762CA9F6" w14:textId="77777777" w:rsidR="008F289C" w:rsidRPr="00D278AB" w:rsidRDefault="008F289C" w:rsidP="00D278AB">
            <w:pPr>
              <w:jc w:val="both"/>
              <w:rPr>
                <w:rFonts w:ascii="Calibri" w:eastAsia="Calibri" w:hAnsi="Calibri" w:cs="Times New Roman"/>
              </w:rPr>
            </w:pPr>
            <w:r w:rsidRPr="00D278AB">
              <w:rPr>
                <w:rFonts w:ascii="Calibri" w:eastAsia="Calibri" w:hAnsi="Calibri" w:cs="Times New Roman"/>
              </w:rPr>
              <w:t>Oct 24</w:t>
            </w:r>
          </w:p>
        </w:tc>
        <w:tc>
          <w:tcPr>
            <w:tcW w:w="1417" w:type="dxa"/>
          </w:tcPr>
          <w:p w14:paraId="2A8145CB" w14:textId="77777777" w:rsidR="008F289C" w:rsidRPr="00D278AB" w:rsidRDefault="008F289C" w:rsidP="00D278AB">
            <w:pPr>
              <w:jc w:val="both"/>
              <w:rPr>
                <w:rFonts w:ascii="Calibri" w:eastAsia="Calibri" w:hAnsi="Calibri" w:cs="Times New Roman"/>
              </w:rPr>
            </w:pPr>
            <w:r w:rsidRPr="00D278AB">
              <w:rPr>
                <w:rFonts w:ascii="Calibri" w:eastAsia="Calibri" w:hAnsi="Calibri" w:cs="Times New Roman"/>
              </w:rPr>
              <w:t>Jan 25</w:t>
            </w:r>
          </w:p>
        </w:tc>
      </w:tr>
      <w:tr w:rsidR="008F289C" w:rsidRPr="00D278AB" w14:paraId="39FCC566" w14:textId="77777777" w:rsidTr="00D278AB">
        <w:tc>
          <w:tcPr>
            <w:tcW w:w="1696" w:type="dxa"/>
          </w:tcPr>
          <w:p w14:paraId="2E3F248C" w14:textId="77777777" w:rsidR="008F289C" w:rsidRPr="00D278AB" w:rsidRDefault="008F289C" w:rsidP="00D278AB">
            <w:pPr>
              <w:jc w:val="both"/>
              <w:rPr>
                <w:rFonts w:ascii="Calibri" w:eastAsia="Calibri" w:hAnsi="Calibri" w:cs="Times New Roman"/>
              </w:rPr>
            </w:pPr>
            <w:r w:rsidRPr="00D278AB">
              <w:rPr>
                <w:rFonts w:ascii="Calibri" w:eastAsia="Calibri" w:hAnsi="Calibri" w:cs="Times New Roman"/>
              </w:rPr>
              <w:t>0 - 2</w:t>
            </w:r>
          </w:p>
        </w:tc>
        <w:tc>
          <w:tcPr>
            <w:tcW w:w="1418" w:type="dxa"/>
          </w:tcPr>
          <w:p w14:paraId="4769E4F4" w14:textId="77777777" w:rsidR="008F289C" w:rsidRPr="00D278AB" w:rsidRDefault="008F289C" w:rsidP="00D278AB">
            <w:pPr>
              <w:jc w:val="both"/>
              <w:rPr>
                <w:rFonts w:ascii="Calibri" w:eastAsia="Calibri" w:hAnsi="Calibri" w:cs="Times New Roman"/>
              </w:rPr>
            </w:pPr>
            <w:r w:rsidRPr="00D278AB">
              <w:rPr>
                <w:rFonts w:ascii="Calibri" w:eastAsia="Calibri" w:hAnsi="Calibri" w:cs="Times New Roman"/>
              </w:rPr>
              <w:t>83%</w:t>
            </w:r>
          </w:p>
        </w:tc>
        <w:tc>
          <w:tcPr>
            <w:tcW w:w="1276" w:type="dxa"/>
          </w:tcPr>
          <w:p w14:paraId="4481332A" w14:textId="77777777" w:rsidR="008F289C" w:rsidRPr="00D278AB" w:rsidRDefault="008F289C" w:rsidP="00D278AB">
            <w:pPr>
              <w:jc w:val="both"/>
              <w:rPr>
                <w:rFonts w:ascii="Calibri" w:eastAsia="Calibri" w:hAnsi="Calibri" w:cs="Times New Roman"/>
              </w:rPr>
            </w:pPr>
            <w:r w:rsidRPr="00D278AB">
              <w:rPr>
                <w:rFonts w:ascii="Calibri" w:eastAsia="Calibri" w:hAnsi="Calibri" w:cs="Times New Roman"/>
              </w:rPr>
              <w:t>97%</w:t>
            </w:r>
          </w:p>
        </w:tc>
        <w:tc>
          <w:tcPr>
            <w:tcW w:w="1417" w:type="dxa"/>
          </w:tcPr>
          <w:p w14:paraId="2B94B9E3" w14:textId="77777777" w:rsidR="008F289C" w:rsidRPr="00D278AB" w:rsidRDefault="008F289C" w:rsidP="00D278AB">
            <w:pPr>
              <w:jc w:val="both"/>
              <w:rPr>
                <w:rFonts w:ascii="Calibri" w:eastAsia="Calibri" w:hAnsi="Calibri" w:cs="Times New Roman"/>
              </w:rPr>
            </w:pPr>
            <w:r w:rsidRPr="00D278AB">
              <w:rPr>
                <w:rFonts w:ascii="Calibri" w:eastAsia="Calibri" w:hAnsi="Calibri" w:cs="Times New Roman"/>
              </w:rPr>
              <w:t>97%</w:t>
            </w:r>
          </w:p>
        </w:tc>
        <w:tc>
          <w:tcPr>
            <w:tcW w:w="1701" w:type="dxa"/>
          </w:tcPr>
          <w:p w14:paraId="03ABF4F6" w14:textId="77777777" w:rsidR="008F289C" w:rsidRPr="00D278AB" w:rsidRDefault="008F289C" w:rsidP="00D278AB">
            <w:pPr>
              <w:jc w:val="both"/>
              <w:rPr>
                <w:rFonts w:ascii="Calibri" w:eastAsia="Calibri" w:hAnsi="Calibri" w:cs="Times New Roman"/>
              </w:rPr>
            </w:pPr>
            <w:r w:rsidRPr="00D278AB">
              <w:rPr>
                <w:rFonts w:ascii="Calibri" w:eastAsia="Calibri" w:hAnsi="Calibri" w:cs="Times New Roman"/>
              </w:rPr>
              <w:t>100%</w:t>
            </w:r>
          </w:p>
        </w:tc>
        <w:tc>
          <w:tcPr>
            <w:tcW w:w="1417" w:type="dxa"/>
          </w:tcPr>
          <w:p w14:paraId="76E13D62" w14:textId="77777777" w:rsidR="008F289C" w:rsidRPr="00D278AB" w:rsidRDefault="008F289C" w:rsidP="00D278AB">
            <w:pPr>
              <w:jc w:val="both"/>
              <w:rPr>
                <w:rFonts w:ascii="Calibri" w:eastAsia="Calibri" w:hAnsi="Calibri" w:cs="Times New Roman"/>
              </w:rPr>
            </w:pPr>
            <w:r w:rsidRPr="00D278AB">
              <w:rPr>
                <w:rFonts w:ascii="Calibri" w:eastAsia="Calibri" w:hAnsi="Calibri" w:cs="Times New Roman"/>
              </w:rPr>
              <w:t>100%</w:t>
            </w:r>
          </w:p>
        </w:tc>
      </w:tr>
      <w:tr w:rsidR="008F289C" w:rsidRPr="00D278AB" w14:paraId="16B99539" w14:textId="77777777" w:rsidTr="00D278AB">
        <w:tc>
          <w:tcPr>
            <w:tcW w:w="1696" w:type="dxa"/>
          </w:tcPr>
          <w:p w14:paraId="312DAA01" w14:textId="77777777" w:rsidR="008F289C" w:rsidRPr="00D278AB" w:rsidRDefault="008F289C" w:rsidP="00D278AB">
            <w:pPr>
              <w:jc w:val="both"/>
              <w:rPr>
                <w:rFonts w:ascii="Calibri" w:eastAsia="Calibri" w:hAnsi="Calibri" w:cs="Times New Roman"/>
              </w:rPr>
            </w:pPr>
            <w:r w:rsidRPr="00D278AB">
              <w:rPr>
                <w:rFonts w:ascii="Calibri" w:eastAsia="Calibri" w:hAnsi="Calibri" w:cs="Times New Roman"/>
              </w:rPr>
              <w:lastRenderedPageBreak/>
              <w:t>2 - 3</w:t>
            </w:r>
          </w:p>
        </w:tc>
        <w:tc>
          <w:tcPr>
            <w:tcW w:w="1418" w:type="dxa"/>
          </w:tcPr>
          <w:p w14:paraId="3FDFBAEF" w14:textId="77777777" w:rsidR="008F289C" w:rsidRPr="00D278AB" w:rsidRDefault="008F289C" w:rsidP="00D278AB">
            <w:pPr>
              <w:jc w:val="both"/>
              <w:rPr>
                <w:rFonts w:ascii="Calibri" w:eastAsia="Calibri" w:hAnsi="Calibri" w:cs="Times New Roman"/>
              </w:rPr>
            </w:pPr>
            <w:r w:rsidRPr="00D278AB">
              <w:rPr>
                <w:rFonts w:ascii="Calibri" w:eastAsia="Calibri" w:hAnsi="Calibri" w:cs="Times New Roman"/>
              </w:rPr>
              <w:t>56%</w:t>
            </w:r>
          </w:p>
        </w:tc>
        <w:tc>
          <w:tcPr>
            <w:tcW w:w="1276" w:type="dxa"/>
          </w:tcPr>
          <w:p w14:paraId="0513431C" w14:textId="77777777" w:rsidR="008F289C" w:rsidRPr="00D278AB" w:rsidRDefault="008F289C" w:rsidP="00D278AB">
            <w:pPr>
              <w:jc w:val="both"/>
              <w:rPr>
                <w:rFonts w:ascii="Calibri" w:eastAsia="Calibri" w:hAnsi="Calibri" w:cs="Times New Roman"/>
              </w:rPr>
            </w:pPr>
            <w:r w:rsidRPr="00D278AB">
              <w:rPr>
                <w:rFonts w:ascii="Calibri" w:eastAsia="Calibri" w:hAnsi="Calibri" w:cs="Times New Roman"/>
              </w:rPr>
              <w:t>91%</w:t>
            </w:r>
          </w:p>
        </w:tc>
        <w:tc>
          <w:tcPr>
            <w:tcW w:w="1417" w:type="dxa"/>
          </w:tcPr>
          <w:p w14:paraId="4F024C4F" w14:textId="77777777" w:rsidR="008F289C" w:rsidRPr="00D278AB" w:rsidRDefault="008F289C" w:rsidP="00D278AB">
            <w:pPr>
              <w:jc w:val="both"/>
              <w:rPr>
                <w:rFonts w:ascii="Calibri" w:eastAsia="Calibri" w:hAnsi="Calibri" w:cs="Times New Roman"/>
              </w:rPr>
            </w:pPr>
            <w:r w:rsidRPr="00D278AB">
              <w:rPr>
                <w:rFonts w:ascii="Calibri" w:eastAsia="Calibri" w:hAnsi="Calibri" w:cs="Times New Roman"/>
              </w:rPr>
              <w:t>97%</w:t>
            </w:r>
          </w:p>
        </w:tc>
        <w:tc>
          <w:tcPr>
            <w:tcW w:w="1701" w:type="dxa"/>
          </w:tcPr>
          <w:p w14:paraId="263642F3" w14:textId="77777777" w:rsidR="008F289C" w:rsidRPr="00D278AB" w:rsidRDefault="008F289C" w:rsidP="00D278AB">
            <w:pPr>
              <w:jc w:val="both"/>
              <w:rPr>
                <w:rFonts w:ascii="Calibri" w:eastAsia="Calibri" w:hAnsi="Calibri" w:cs="Times New Roman"/>
              </w:rPr>
            </w:pPr>
            <w:r w:rsidRPr="00D278AB">
              <w:rPr>
                <w:rFonts w:ascii="Calibri" w:eastAsia="Calibri" w:hAnsi="Calibri" w:cs="Times New Roman"/>
              </w:rPr>
              <w:t>100%</w:t>
            </w:r>
          </w:p>
        </w:tc>
        <w:tc>
          <w:tcPr>
            <w:tcW w:w="1417" w:type="dxa"/>
          </w:tcPr>
          <w:p w14:paraId="0AB32C5D" w14:textId="77777777" w:rsidR="008F289C" w:rsidRPr="00D278AB" w:rsidRDefault="008F289C" w:rsidP="00D278AB">
            <w:pPr>
              <w:jc w:val="both"/>
              <w:rPr>
                <w:rFonts w:ascii="Calibri" w:eastAsia="Calibri" w:hAnsi="Calibri" w:cs="Times New Roman"/>
              </w:rPr>
            </w:pPr>
            <w:r w:rsidRPr="00D278AB">
              <w:rPr>
                <w:rFonts w:ascii="Calibri" w:eastAsia="Calibri" w:hAnsi="Calibri" w:cs="Times New Roman"/>
              </w:rPr>
              <w:t>100%</w:t>
            </w:r>
          </w:p>
        </w:tc>
      </w:tr>
      <w:tr w:rsidR="008F289C" w:rsidRPr="00D278AB" w14:paraId="7FE1D118" w14:textId="77777777" w:rsidTr="00D278AB">
        <w:tc>
          <w:tcPr>
            <w:tcW w:w="1696" w:type="dxa"/>
          </w:tcPr>
          <w:p w14:paraId="689E7057" w14:textId="77777777" w:rsidR="008F289C" w:rsidRPr="00D278AB" w:rsidRDefault="008F289C" w:rsidP="00D278AB">
            <w:pPr>
              <w:jc w:val="both"/>
              <w:rPr>
                <w:rFonts w:ascii="Calibri" w:eastAsia="Calibri" w:hAnsi="Calibri" w:cs="Times New Roman"/>
              </w:rPr>
            </w:pPr>
            <w:r w:rsidRPr="00D278AB">
              <w:rPr>
                <w:rFonts w:ascii="Calibri" w:eastAsia="Calibri" w:hAnsi="Calibri" w:cs="Times New Roman"/>
              </w:rPr>
              <w:t>3 - 5</w:t>
            </w:r>
          </w:p>
        </w:tc>
        <w:tc>
          <w:tcPr>
            <w:tcW w:w="1418" w:type="dxa"/>
          </w:tcPr>
          <w:p w14:paraId="2148A222" w14:textId="77777777" w:rsidR="008F289C" w:rsidRPr="00D278AB" w:rsidRDefault="008F289C" w:rsidP="00D278AB">
            <w:pPr>
              <w:jc w:val="both"/>
              <w:rPr>
                <w:rFonts w:ascii="Calibri" w:eastAsia="Calibri" w:hAnsi="Calibri" w:cs="Times New Roman"/>
              </w:rPr>
            </w:pPr>
            <w:r w:rsidRPr="00D278AB">
              <w:rPr>
                <w:rFonts w:ascii="Calibri" w:eastAsia="Calibri" w:hAnsi="Calibri" w:cs="Times New Roman"/>
              </w:rPr>
              <w:t>32%</w:t>
            </w:r>
          </w:p>
        </w:tc>
        <w:tc>
          <w:tcPr>
            <w:tcW w:w="1276" w:type="dxa"/>
          </w:tcPr>
          <w:p w14:paraId="7A80B4BC" w14:textId="77777777" w:rsidR="008F289C" w:rsidRPr="00D278AB" w:rsidRDefault="008F289C" w:rsidP="00D278AB">
            <w:pPr>
              <w:jc w:val="both"/>
              <w:rPr>
                <w:rFonts w:ascii="Calibri" w:eastAsia="Calibri" w:hAnsi="Calibri" w:cs="Times New Roman"/>
              </w:rPr>
            </w:pPr>
            <w:r w:rsidRPr="00D278AB">
              <w:rPr>
                <w:rFonts w:ascii="Calibri" w:eastAsia="Calibri" w:hAnsi="Calibri" w:cs="Times New Roman"/>
              </w:rPr>
              <w:t>49%</w:t>
            </w:r>
          </w:p>
        </w:tc>
        <w:tc>
          <w:tcPr>
            <w:tcW w:w="1417" w:type="dxa"/>
          </w:tcPr>
          <w:p w14:paraId="36A28DF4" w14:textId="77777777" w:rsidR="008F289C" w:rsidRPr="00D278AB" w:rsidRDefault="008F289C" w:rsidP="00D278AB">
            <w:pPr>
              <w:jc w:val="both"/>
              <w:rPr>
                <w:rFonts w:ascii="Calibri" w:eastAsia="Calibri" w:hAnsi="Calibri" w:cs="Times New Roman"/>
              </w:rPr>
            </w:pPr>
            <w:r w:rsidRPr="00D278AB">
              <w:rPr>
                <w:rFonts w:ascii="Calibri" w:eastAsia="Calibri" w:hAnsi="Calibri" w:cs="Times New Roman"/>
              </w:rPr>
              <w:t>54%</w:t>
            </w:r>
          </w:p>
        </w:tc>
        <w:tc>
          <w:tcPr>
            <w:tcW w:w="1701" w:type="dxa"/>
          </w:tcPr>
          <w:p w14:paraId="152C94A6" w14:textId="77777777" w:rsidR="008F289C" w:rsidRPr="00D278AB" w:rsidRDefault="008F289C" w:rsidP="00D278AB">
            <w:pPr>
              <w:jc w:val="both"/>
              <w:rPr>
                <w:rFonts w:ascii="Calibri" w:eastAsia="Calibri" w:hAnsi="Calibri" w:cs="Times New Roman"/>
              </w:rPr>
            </w:pPr>
            <w:r w:rsidRPr="00D278AB">
              <w:rPr>
                <w:rFonts w:ascii="Calibri" w:eastAsia="Calibri" w:hAnsi="Calibri" w:cs="Times New Roman"/>
              </w:rPr>
              <w:t>57%</w:t>
            </w:r>
          </w:p>
        </w:tc>
        <w:tc>
          <w:tcPr>
            <w:tcW w:w="1417" w:type="dxa"/>
          </w:tcPr>
          <w:p w14:paraId="6A4F50F6" w14:textId="77777777" w:rsidR="008F289C" w:rsidRPr="00D278AB" w:rsidRDefault="008F289C" w:rsidP="00D278AB">
            <w:pPr>
              <w:jc w:val="both"/>
              <w:rPr>
                <w:rFonts w:ascii="Calibri" w:eastAsia="Calibri" w:hAnsi="Calibri" w:cs="Times New Roman"/>
              </w:rPr>
            </w:pPr>
            <w:r w:rsidRPr="00D278AB">
              <w:rPr>
                <w:rFonts w:ascii="Calibri" w:eastAsia="Calibri" w:hAnsi="Calibri" w:cs="Times New Roman"/>
              </w:rPr>
              <w:t>73%</w:t>
            </w:r>
            <w:r w:rsidRPr="00D278AB">
              <w:rPr>
                <w:rFonts w:ascii="Calibri" w:eastAsia="Calibri" w:hAnsi="Calibri" w:cs="Times New Roman"/>
                <w:color w:val="FF0000"/>
              </w:rPr>
              <w:t>*</w:t>
            </w:r>
          </w:p>
        </w:tc>
      </w:tr>
      <w:tr w:rsidR="008F289C" w:rsidRPr="00D278AB" w14:paraId="66E92FD2" w14:textId="77777777" w:rsidTr="00D278AB">
        <w:tc>
          <w:tcPr>
            <w:tcW w:w="1696" w:type="dxa"/>
          </w:tcPr>
          <w:p w14:paraId="151F7CDC" w14:textId="77777777" w:rsidR="008F289C" w:rsidRPr="00D278AB" w:rsidRDefault="008F289C" w:rsidP="00D278AB">
            <w:pPr>
              <w:jc w:val="both"/>
              <w:rPr>
                <w:rFonts w:ascii="Calibri" w:eastAsia="Calibri" w:hAnsi="Calibri" w:cs="Times New Roman"/>
              </w:rPr>
            </w:pPr>
            <w:r w:rsidRPr="00D278AB">
              <w:rPr>
                <w:rFonts w:ascii="Calibri" w:eastAsia="Calibri" w:hAnsi="Calibri" w:cs="Times New Roman"/>
              </w:rPr>
              <w:t>Whole Nursery</w:t>
            </w:r>
          </w:p>
        </w:tc>
        <w:tc>
          <w:tcPr>
            <w:tcW w:w="1418" w:type="dxa"/>
          </w:tcPr>
          <w:p w14:paraId="7405B034" w14:textId="77777777" w:rsidR="008F289C" w:rsidRPr="00D278AB" w:rsidRDefault="008F289C" w:rsidP="00D278AB">
            <w:pPr>
              <w:jc w:val="both"/>
              <w:rPr>
                <w:rFonts w:ascii="Calibri" w:eastAsia="Calibri" w:hAnsi="Calibri" w:cs="Times New Roman"/>
              </w:rPr>
            </w:pPr>
            <w:r w:rsidRPr="00D278AB">
              <w:rPr>
                <w:rFonts w:ascii="Calibri" w:eastAsia="Calibri" w:hAnsi="Calibri" w:cs="Times New Roman"/>
              </w:rPr>
              <w:t>40%</w:t>
            </w:r>
          </w:p>
        </w:tc>
        <w:tc>
          <w:tcPr>
            <w:tcW w:w="1276" w:type="dxa"/>
          </w:tcPr>
          <w:p w14:paraId="1945A225" w14:textId="77777777" w:rsidR="008F289C" w:rsidRPr="00D278AB" w:rsidRDefault="008F289C" w:rsidP="00D278AB">
            <w:pPr>
              <w:jc w:val="both"/>
              <w:rPr>
                <w:rFonts w:ascii="Calibri" w:eastAsia="Calibri" w:hAnsi="Calibri" w:cs="Times New Roman"/>
              </w:rPr>
            </w:pPr>
            <w:r w:rsidRPr="00D278AB">
              <w:rPr>
                <w:rFonts w:ascii="Calibri" w:eastAsia="Calibri" w:hAnsi="Calibri" w:cs="Times New Roman"/>
              </w:rPr>
              <w:t>59%</w:t>
            </w:r>
          </w:p>
        </w:tc>
        <w:tc>
          <w:tcPr>
            <w:tcW w:w="1417" w:type="dxa"/>
          </w:tcPr>
          <w:p w14:paraId="1F6A249C" w14:textId="77777777" w:rsidR="008F289C" w:rsidRPr="00D278AB" w:rsidRDefault="008F289C" w:rsidP="00D278AB">
            <w:pPr>
              <w:jc w:val="both"/>
              <w:rPr>
                <w:rFonts w:ascii="Calibri" w:eastAsia="Calibri" w:hAnsi="Calibri" w:cs="Times New Roman"/>
              </w:rPr>
            </w:pPr>
            <w:r w:rsidRPr="00D278AB">
              <w:rPr>
                <w:rFonts w:ascii="Calibri" w:eastAsia="Calibri" w:hAnsi="Calibri" w:cs="Times New Roman"/>
              </w:rPr>
              <w:t>63%</w:t>
            </w:r>
          </w:p>
        </w:tc>
        <w:tc>
          <w:tcPr>
            <w:tcW w:w="1701" w:type="dxa"/>
          </w:tcPr>
          <w:p w14:paraId="460B2CDE" w14:textId="77777777" w:rsidR="008F289C" w:rsidRPr="00D278AB" w:rsidRDefault="008F289C" w:rsidP="00D278AB">
            <w:pPr>
              <w:jc w:val="both"/>
              <w:rPr>
                <w:rFonts w:ascii="Calibri" w:eastAsia="Calibri" w:hAnsi="Calibri" w:cs="Times New Roman"/>
              </w:rPr>
            </w:pPr>
            <w:r w:rsidRPr="00D278AB">
              <w:rPr>
                <w:rFonts w:ascii="Calibri" w:eastAsia="Calibri" w:hAnsi="Calibri" w:cs="Times New Roman"/>
              </w:rPr>
              <w:t>68%</w:t>
            </w:r>
          </w:p>
        </w:tc>
        <w:tc>
          <w:tcPr>
            <w:tcW w:w="1417" w:type="dxa"/>
          </w:tcPr>
          <w:p w14:paraId="35C52354" w14:textId="77777777" w:rsidR="008F289C" w:rsidRPr="00D278AB" w:rsidRDefault="008F289C" w:rsidP="00D278AB">
            <w:pPr>
              <w:jc w:val="both"/>
              <w:rPr>
                <w:rFonts w:ascii="Calibri" w:eastAsia="Calibri" w:hAnsi="Calibri" w:cs="Times New Roman"/>
              </w:rPr>
            </w:pPr>
            <w:r w:rsidRPr="00D278AB">
              <w:rPr>
                <w:rFonts w:ascii="Calibri" w:eastAsia="Calibri" w:hAnsi="Calibri" w:cs="Times New Roman"/>
              </w:rPr>
              <w:t>79%</w:t>
            </w:r>
            <w:r w:rsidRPr="00D278AB">
              <w:rPr>
                <w:rFonts w:ascii="Calibri" w:eastAsia="Calibri" w:hAnsi="Calibri" w:cs="Times New Roman"/>
                <w:color w:val="00B050"/>
              </w:rPr>
              <w:t>*</w:t>
            </w:r>
          </w:p>
        </w:tc>
      </w:tr>
      <w:tr w:rsidR="008F289C" w:rsidRPr="00D278AB" w14:paraId="20A0DCAF" w14:textId="77777777" w:rsidTr="00D278AB">
        <w:tc>
          <w:tcPr>
            <w:tcW w:w="7508" w:type="dxa"/>
            <w:gridSpan w:val="5"/>
          </w:tcPr>
          <w:p w14:paraId="1ADC711F" w14:textId="77777777" w:rsidR="008F289C" w:rsidRPr="00D278AB" w:rsidRDefault="008F289C" w:rsidP="00D278AB">
            <w:pPr>
              <w:jc w:val="both"/>
              <w:rPr>
                <w:rFonts w:ascii="Calibri" w:eastAsia="Calibri" w:hAnsi="Calibri" w:cs="Times New Roman"/>
              </w:rPr>
            </w:pPr>
          </w:p>
          <w:p w14:paraId="15EC5FF9" w14:textId="77777777" w:rsidR="008F289C" w:rsidRPr="00D278AB" w:rsidRDefault="008F289C" w:rsidP="00D278AB">
            <w:pPr>
              <w:jc w:val="both"/>
              <w:rPr>
                <w:rFonts w:ascii="Calibri" w:eastAsia="Calibri" w:hAnsi="Calibri" w:cs="Times New Roman"/>
              </w:rPr>
            </w:pPr>
            <w:r w:rsidRPr="00D278AB">
              <w:rPr>
                <w:rFonts w:ascii="Calibri" w:eastAsia="Calibri" w:hAnsi="Calibri" w:cs="Times New Roman"/>
                <w:color w:val="FF0000"/>
              </w:rPr>
              <w:t>*</w:t>
            </w:r>
            <w:r w:rsidRPr="00D278AB">
              <w:rPr>
                <w:rFonts w:ascii="Calibri" w:eastAsia="Calibri" w:hAnsi="Calibri" w:cs="Times New Roman"/>
              </w:rPr>
              <w:t>Increasing to 79% in term after Easter</w:t>
            </w:r>
          </w:p>
          <w:p w14:paraId="282A7F4B" w14:textId="77777777" w:rsidR="008F289C" w:rsidRPr="00D278AB" w:rsidRDefault="008F289C" w:rsidP="00D278AB">
            <w:pPr>
              <w:jc w:val="both"/>
              <w:rPr>
                <w:rFonts w:ascii="Calibri" w:eastAsia="Calibri" w:hAnsi="Calibri" w:cs="Times New Roman"/>
              </w:rPr>
            </w:pPr>
            <w:r w:rsidRPr="00D278AB">
              <w:rPr>
                <w:rFonts w:ascii="Calibri" w:eastAsia="Calibri" w:hAnsi="Calibri" w:cs="Times New Roman"/>
                <w:color w:val="00B050"/>
              </w:rPr>
              <w:t>*</w:t>
            </w:r>
            <w:r w:rsidRPr="00D278AB">
              <w:rPr>
                <w:rFonts w:ascii="Calibri" w:eastAsia="Calibri" w:hAnsi="Calibri" w:cs="Times New Roman"/>
              </w:rPr>
              <w:t>Increasing to 84% in term after Easter</w:t>
            </w:r>
          </w:p>
          <w:p w14:paraId="01621DB1" w14:textId="77777777" w:rsidR="008F289C" w:rsidRPr="00D278AB" w:rsidRDefault="008F289C" w:rsidP="00D278AB">
            <w:pPr>
              <w:jc w:val="both"/>
              <w:rPr>
                <w:rFonts w:ascii="Calibri" w:eastAsia="Calibri" w:hAnsi="Calibri" w:cs="Times New Roman"/>
              </w:rPr>
            </w:pPr>
            <w:r w:rsidRPr="00D278AB">
              <w:rPr>
                <w:rFonts w:ascii="Calibri" w:eastAsia="Calibri" w:hAnsi="Calibri" w:cs="Times New Roman"/>
              </w:rPr>
              <w:t>These increases are due to children who have enrolled in the Nursery, have funding in place, but have an agreed start date between February and April 2025.</w:t>
            </w:r>
          </w:p>
          <w:p w14:paraId="2C19C0AE" w14:textId="77777777" w:rsidR="008F289C" w:rsidRPr="00D278AB" w:rsidRDefault="008F289C" w:rsidP="00D278AB">
            <w:pPr>
              <w:jc w:val="both"/>
              <w:rPr>
                <w:rFonts w:ascii="Calibri" w:eastAsia="Calibri" w:hAnsi="Calibri" w:cs="Times New Roman"/>
              </w:rPr>
            </w:pPr>
          </w:p>
        </w:tc>
        <w:tc>
          <w:tcPr>
            <w:tcW w:w="1417" w:type="dxa"/>
          </w:tcPr>
          <w:p w14:paraId="7301A196" w14:textId="77777777" w:rsidR="008F289C" w:rsidRPr="00D278AB" w:rsidRDefault="008F289C" w:rsidP="00D278AB">
            <w:pPr>
              <w:jc w:val="both"/>
              <w:rPr>
                <w:rFonts w:ascii="Calibri" w:eastAsia="Calibri" w:hAnsi="Calibri" w:cs="Times New Roman"/>
              </w:rPr>
            </w:pPr>
          </w:p>
        </w:tc>
      </w:tr>
    </w:tbl>
    <w:p w14:paraId="563EF812" w14:textId="77777777" w:rsidR="008F289C" w:rsidRPr="00D278AB" w:rsidRDefault="008F289C" w:rsidP="00D278AB">
      <w:pPr>
        <w:jc w:val="both"/>
      </w:pPr>
    </w:p>
    <w:p w14:paraId="48BFA3DA" w14:textId="77777777" w:rsidR="008F289C" w:rsidRPr="00D278AB" w:rsidRDefault="008F289C" w:rsidP="00D278AB">
      <w:pPr>
        <w:spacing w:after="0" w:line="240" w:lineRule="auto"/>
        <w:ind w:left="720"/>
        <w:jc w:val="both"/>
        <w:rPr>
          <w:b/>
        </w:rPr>
      </w:pPr>
      <w:r w:rsidRPr="00D278AB">
        <w:rPr>
          <w:b/>
        </w:rPr>
        <w:t>Full Year Provision</w:t>
      </w:r>
      <w:r w:rsidR="00D278AB">
        <w:rPr>
          <w:b/>
        </w:rPr>
        <w:t xml:space="preserve">:  </w:t>
      </w:r>
      <w:r w:rsidRPr="00D278AB">
        <w:t xml:space="preserve">The Nursery currently has 18 children requiring childcare over the full year. There is an increasing number of enquiries and applications from parents who will require full year provision both for Council Funded places, and private customers (working parents). </w:t>
      </w:r>
    </w:p>
    <w:p w14:paraId="7AFDCFD0" w14:textId="77777777" w:rsidR="008F289C" w:rsidRPr="00D278AB" w:rsidRDefault="008F289C" w:rsidP="00D278AB">
      <w:pPr>
        <w:spacing w:line="240" w:lineRule="auto"/>
        <w:ind w:left="720"/>
        <w:jc w:val="both"/>
      </w:pPr>
      <w:r w:rsidRPr="00D278AB">
        <w:t>There will be 18 children attending the Nursery during the Easter break, with possibly a few more term time children whose parents will request some extra sessions during the holiday period.</w:t>
      </w:r>
    </w:p>
    <w:p w14:paraId="761A54CC" w14:textId="77777777" w:rsidR="008F289C" w:rsidRPr="00D278AB" w:rsidRDefault="008F289C" w:rsidP="00D278AB">
      <w:pPr>
        <w:spacing w:line="240" w:lineRule="auto"/>
        <w:ind w:left="720"/>
        <w:jc w:val="both"/>
      </w:pPr>
      <w:r w:rsidRPr="00D278AB">
        <w:t>Staff are confident that the nursery will grow given all the additional support provided by the college.</w:t>
      </w:r>
    </w:p>
    <w:p w14:paraId="6B340839" w14:textId="77777777" w:rsidR="008F289C" w:rsidRPr="00D278AB" w:rsidRDefault="008F289C" w:rsidP="00D278AB">
      <w:pPr>
        <w:spacing w:after="0" w:line="240" w:lineRule="auto"/>
        <w:ind w:left="720"/>
        <w:jc w:val="both"/>
        <w:rPr>
          <w:rFonts w:ascii="Calibri" w:eastAsia="Calibri" w:hAnsi="Calibri" w:cs="Times New Roman"/>
          <w:b/>
        </w:rPr>
      </w:pPr>
      <w:r w:rsidRPr="00D278AB">
        <w:rPr>
          <w:rFonts w:ascii="Calibri" w:eastAsia="Calibri" w:hAnsi="Calibri" w:cs="Times New Roman"/>
          <w:b/>
        </w:rPr>
        <w:t>Marketing</w:t>
      </w:r>
      <w:r w:rsidR="00D278AB">
        <w:rPr>
          <w:rFonts w:ascii="Calibri" w:eastAsia="Calibri" w:hAnsi="Calibri" w:cs="Times New Roman"/>
          <w:b/>
        </w:rPr>
        <w:t xml:space="preserve">:  </w:t>
      </w:r>
      <w:r w:rsidRPr="00D278AB">
        <w:rPr>
          <w:rFonts w:ascii="Calibri" w:eastAsia="Calibri" w:hAnsi="Calibri" w:cs="Calibri"/>
        </w:rPr>
        <w:t>The Nursery is working with the marketing department who have now completed the video which will showcase the Nursery. There are plans to use the video and images on the college website, social media platforms, flyers, posters, media and press releases, educational resources and out-of-home advertising. The Nursery is continuing to promote the services they offer via the Facebook page run by parents, and local community social media.</w:t>
      </w:r>
    </w:p>
    <w:p w14:paraId="462C651F" w14:textId="77777777" w:rsidR="008F289C" w:rsidRPr="00D278AB" w:rsidRDefault="008F289C" w:rsidP="00D278AB">
      <w:pPr>
        <w:shd w:val="clear" w:color="auto" w:fill="FFFFFF"/>
        <w:spacing w:before="100" w:beforeAutospacing="1" w:after="100" w:afterAutospacing="1" w:line="240" w:lineRule="auto"/>
        <w:ind w:left="720"/>
        <w:jc w:val="both"/>
        <w:rPr>
          <w:rFonts w:ascii="Calibri" w:eastAsia="Times New Roman" w:hAnsi="Calibri" w:cs="Calibri"/>
          <w:color w:val="242424"/>
          <w:lang w:eastAsia="en-GB"/>
        </w:rPr>
      </w:pPr>
      <w:r w:rsidRPr="00D278AB">
        <w:rPr>
          <w:rFonts w:ascii="Calibri" w:eastAsia="Times New Roman" w:hAnsi="Calibri" w:cs="Calibri"/>
          <w:color w:val="242424"/>
          <w:lang w:eastAsia="en-GB"/>
        </w:rPr>
        <w:t>The video creates a soft introduction to the Nursery, highlighting the safe and happy environment on offer. Looking ahead, there are plans to produce supporting / complimentary videos. These will focus on specific aspects such as Forest Learning, STEM, Healthy Eating, or similar topics that showcase the key strengths of the Nursery. These videos will help further build the Nursery’s credibility and positive reputation.</w:t>
      </w:r>
    </w:p>
    <w:bookmarkStart w:id="1" w:name="_Hlk191027026"/>
    <w:p w14:paraId="30303E30" w14:textId="77777777" w:rsidR="008F289C" w:rsidRPr="006D3608" w:rsidRDefault="008F289C" w:rsidP="00D278AB">
      <w:pPr>
        <w:shd w:val="clear" w:color="auto" w:fill="FFFFFF"/>
        <w:spacing w:before="100" w:beforeAutospacing="1" w:after="100" w:afterAutospacing="1" w:line="240" w:lineRule="auto"/>
        <w:ind w:left="720"/>
        <w:jc w:val="both"/>
        <w:rPr>
          <w:rFonts w:ascii="Calibri" w:eastAsia="Times New Roman" w:hAnsi="Calibri" w:cs="Calibri"/>
          <w:color w:val="242424"/>
          <w:lang w:eastAsia="en-GB"/>
        </w:rPr>
      </w:pPr>
      <w:r w:rsidRPr="006D3608">
        <w:fldChar w:fldCharType="begin"/>
      </w:r>
      <w:r w:rsidRPr="006D3608">
        <w:instrText xml:space="preserve"> HYPERLINK "https://nclan.interactgo.com/page/32614" </w:instrText>
      </w:r>
      <w:r w:rsidRPr="006D3608">
        <w:fldChar w:fldCharType="separate"/>
      </w:r>
      <w:r w:rsidRPr="006D3608">
        <w:rPr>
          <w:color w:val="0000FF"/>
          <w:u w:val="single"/>
        </w:rPr>
        <w:t>Cumbernauld kids</w:t>
      </w:r>
      <w:proofErr w:type="gramStart"/>
      <w:r w:rsidRPr="006D3608">
        <w:rPr>
          <w:color w:val="0000FF"/>
          <w:u w:val="single"/>
        </w:rPr>
        <w:t>.....</w:t>
      </w:r>
      <w:proofErr w:type="gramEnd"/>
      <w:r w:rsidRPr="006D3608">
        <w:rPr>
          <w:color w:val="0000FF"/>
          <w:u w:val="single"/>
        </w:rPr>
        <w:t xml:space="preserve"> - The Clan - NCL</w:t>
      </w:r>
      <w:r w:rsidRPr="006D3608">
        <w:rPr>
          <w:color w:val="0000FF"/>
          <w:u w:val="single"/>
        </w:rPr>
        <w:fldChar w:fldCharType="end"/>
      </w:r>
    </w:p>
    <w:bookmarkEnd w:id="1"/>
    <w:p w14:paraId="45CE8ECE" w14:textId="77777777" w:rsidR="0091770B" w:rsidRPr="006D3608" w:rsidRDefault="006D3608" w:rsidP="006D3608">
      <w:pPr>
        <w:spacing w:line="240" w:lineRule="auto"/>
        <w:jc w:val="both"/>
      </w:pPr>
      <w:r w:rsidRPr="006D3608">
        <w:tab/>
        <w:t xml:space="preserve">KF welcomed AB’s update and commented on the good progress being made at </w:t>
      </w:r>
      <w:r w:rsidR="00F8217B" w:rsidRPr="006D3608">
        <w:t>Cumbernauld</w:t>
      </w:r>
      <w:r w:rsidRPr="006D3608">
        <w:t>.</w:t>
      </w:r>
    </w:p>
    <w:p w14:paraId="204946BC" w14:textId="77777777" w:rsidR="0091770B" w:rsidRPr="00FB3772" w:rsidRDefault="0091770B" w:rsidP="0091770B">
      <w:pPr>
        <w:spacing w:after="0" w:line="240" w:lineRule="auto"/>
        <w:jc w:val="both"/>
        <w:rPr>
          <w:rFonts w:cstheme="minorHAnsi"/>
          <w:b/>
        </w:rPr>
      </w:pPr>
      <w:r w:rsidRPr="00FB3772">
        <w:rPr>
          <w:rFonts w:cstheme="minorHAnsi"/>
          <w:b/>
        </w:rPr>
        <w:t>7.1</w:t>
      </w:r>
      <w:r w:rsidRPr="00FB3772">
        <w:rPr>
          <w:rFonts w:cstheme="minorHAnsi"/>
          <w:b/>
        </w:rPr>
        <w:tab/>
        <w:t>College Registrar’s Report</w:t>
      </w:r>
    </w:p>
    <w:p w14:paraId="362B623B" w14:textId="77777777" w:rsidR="0091770B" w:rsidRPr="00FB3772" w:rsidRDefault="0091770B" w:rsidP="0091770B">
      <w:pPr>
        <w:spacing w:after="0" w:line="240" w:lineRule="auto"/>
        <w:jc w:val="both"/>
        <w:rPr>
          <w:rFonts w:cstheme="minorHAnsi"/>
        </w:rPr>
      </w:pPr>
      <w:r w:rsidRPr="00FB3772">
        <w:rPr>
          <w:rFonts w:cstheme="minorHAnsi"/>
          <w:b/>
        </w:rPr>
        <w:tab/>
      </w:r>
      <w:r w:rsidRPr="00FB3772">
        <w:rPr>
          <w:rFonts w:cstheme="minorHAnsi"/>
        </w:rPr>
        <w:t>Elaine Turkington (ET) spoke to her paper and highlighted a number of points:</w:t>
      </w:r>
    </w:p>
    <w:p w14:paraId="3964334C" w14:textId="77777777" w:rsidR="006D3608" w:rsidRPr="007F26E4" w:rsidRDefault="000A3A44" w:rsidP="007F26E4">
      <w:pPr>
        <w:pStyle w:val="ListParagraph"/>
        <w:numPr>
          <w:ilvl w:val="0"/>
          <w:numId w:val="13"/>
        </w:numPr>
        <w:spacing w:after="0" w:line="240" w:lineRule="auto"/>
        <w:jc w:val="both"/>
        <w:rPr>
          <w:rFonts w:cstheme="minorHAnsi"/>
          <w:b/>
        </w:rPr>
      </w:pPr>
      <w:r w:rsidRPr="007F26E4">
        <w:rPr>
          <w:rFonts w:cstheme="minorHAnsi"/>
          <w:b/>
        </w:rPr>
        <w:t xml:space="preserve">NCL </w:t>
      </w:r>
      <w:r w:rsidR="006D3608" w:rsidRPr="007F26E4">
        <w:rPr>
          <w:rFonts w:cstheme="minorHAnsi"/>
          <w:b/>
        </w:rPr>
        <w:t>Strategy 2030</w:t>
      </w:r>
    </w:p>
    <w:p w14:paraId="5410B77C" w14:textId="77777777" w:rsidR="000A3A44" w:rsidRDefault="000A3A44" w:rsidP="00BC2130">
      <w:pPr>
        <w:pStyle w:val="paragraph"/>
        <w:spacing w:before="0" w:beforeAutospacing="0" w:after="0" w:afterAutospacing="0"/>
        <w:ind w:left="1080"/>
        <w:jc w:val="both"/>
        <w:textAlignment w:val="baseline"/>
        <w:rPr>
          <w:rFonts w:ascii="Segoe UI" w:hAnsi="Segoe UI" w:cs="Segoe UI"/>
          <w:sz w:val="18"/>
          <w:szCs w:val="18"/>
        </w:rPr>
      </w:pPr>
      <w:r>
        <w:rPr>
          <w:rStyle w:val="normaltextrun"/>
          <w:rFonts w:ascii="Calibri" w:hAnsi="Calibri" w:cs="Calibri"/>
          <w:sz w:val="22"/>
          <w:szCs w:val="22"/>
        </w:rPr>
        <w:t>A detailed proposal for NCL Strategy 2030 was presented by the Executive Board to NCL members of the RSB on 3 February 2025.  The presentation highlighted external regional and community drivers, reviewed and updated the College’s purpose following a summary of progress made up to 2025, and proposed a relationship-led approach to</w:t>
      </w:r>
      <w:r w:rsidR="00FA2B2D">
        <w:rPr>
          <w:rStyle w:val="normaltextrun"/>
          <w:rFonts w:ascii="Calibri" w:hAnsi="Calibri" w:cs="Calibri"/>
          <w:sz w:val="22"/>
          <w:szCs w:val="22"/>
        </w:rPr>
        <w:t xml:space="preserve"> college</w:t>
      </w:r>
      <w:r>
        <w:rPr>
          <w:rStyle w:val="normaltextrun"/>
          <w:rFonts w:ascii="Calibri" w:hAnsi="Calibri" w:cs="Calibri"/>
          <w:sz w:val="22"/>
          <w:szCs w:val="22"/>
        </w:rPr>
        <w:t xml:space="preserve"> culture, recognising that each person may require a different approach to reach their full potential.</w:t>
      </w:r>
      <w:r>
        <w:rPr>
          <w:rStyle w:val="eop"/>
          <w:rFonts w:ascii="Calibri" w:hAnsi="Calibri" w:cs="Calibri"/>
          <w:sz w:val="22"/>
          <w:szCs w:val="22"/>
        </w:rPr>
        <w:t> </w:t>
      </w:r>
    </w:p>
    <w:p w14:paraId="205BF7D3" w14:textId="77777777" w:rsidR="000A3A44" w:rsidRPr="00BC2130" w:rsidRDefault="000A3A44" w:rsidP="00BC2130">
      <w:pPr>
        <w:pStyle w:val="paragraph"/>
        <w:spacing w:before="0" w:beforeAutospacing="0" w:after="0" w:afterAutospacing="0"/>
        <w:ind w:left="360" w:firstLine="720"/>
        <w:jc w:val="both"/>
        <w:textAlignment w:val="baseline"/>
        <w:rPr>
          <w:rFonts w:ascii="Calibri" w:hAnsi="Calibri" w:cs="Calibri"/>
          <w:sz w:val="22"/>
          <w:szCs w:val="22"/>
        </w:rPr>
      </w:pPr>
      <w:r>
        <w:rPr>
          <w:rStyle w:val="normaltextrun"/>
          <w:rFonts w:ascii="Calibri" w:hAnsi="Calibri" w:cs="Calibri"/>
          <w:sz w:val="22"/>
          <w:szCs w:val="22"/>
        </w:rPr>
        <w:t>5 strategic pillars were proposed to ensure focus on:</w:t>
      </w:r>
      <w:r>
        <w:rPr>
          <w:rStyle w:val="eop"/>
          <w:rFonts w:ascii="Calibri" w:hAnsi="Calibri" w:cs="Calibri"/>
          <w:sz w:val="22"/>
          <w:szCs w:val="22"/>
        </w:rPr>
        <w:t> </w:t>
      </w:r>
    </w:p>
    <w:p w14:paraId="033F2316" w14:textId="77777777" w:rsidR="000A3A44" w:rsidRDefault="000A3A44" w:rsidP="00BC2130">
      <w:pPr>
        <w:pStyle w:val="paragraph"/>
        <w:numPr>
          <w:ilvl w:val="0"/>
          <w:numId w:val="9"/>
        </w:numPr>
        <w:tabs>
          <w:tab w:val="clear" w:pos="720"/>
          <w:tab w:val="num" w:pos="1395"/>
        </w:tabs>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delivering close alignment to public, private and third sector need</w:t>
      </w:r>
      <w:r>
        <w:rPr>
          <w:rStyle w:val="eop"/>
          <w:rFonts w:ascii="Calibri" w:hAnsi="Calibri" w:cs="Calibri"/>
          <w:sz w:val="22"/>
          <w:szCs w:val="22"/>
        </w:rPr>
        <w:t> </w:t>
      </w:r>
    </w:p>
    <w:p w14:paraId="2831B6C5" w14:textId="77777777" w:rsidR="000A3A44" w:rsidRDefault="000A3A44" w:rsidP="00BC2130">
      <w:pPr>
        <w:pStyle w:val="paragraph"/>
        <w:numPr>
          <w:ilvl w:val="0"/>
          <w:numId w:val="10"/>
        </w:numPr>
        <w:tabs>
          <w:tab w:val="clear" w:pos="720"/>
          <w:tab w:val="num" w:pos="1395"/>
        </w:tabs>
        <w:spacing w:before="0" w:beforeAutospacing="0" w:after="0" w:afterAutospacing="0"/>
        <w:ind w:left="1077" w:firstLine="0"/>
        <w:jc w:val="both"/>
        <w:textAlignment w:val="baseline"/>
        <w:rPr>
          <w:rFonts w:ascii="Calibri" w:hAnsi="Calibri" w:cs="Calibri"/>
          <w:sz w:val="22"/>
          <w:szCs w:val="22"/>
        </w:rPr>
      </w:pPr>
      <w:r>
        <w:rPr>
          <w:rStyle w:val="normaltextrun"/>
          <w:rFonts w:ascii="Calibri" w:hAnsi="Calibri" w:cs="Calibri"/>
          <w:sz w:val="22"/>
          <w:szCs w:val="22"/>
        </w:rPr>
        <w:t>being a dynamic collaborator within the Region</w:t>
      </w:r>
      <w:r>
        <w:rPr>
          <w:rStyle w:val="eop"/>
          <w:rFonts w:ascii="Calibri" w:hAnsi="Calibri" w:cs="Calibri"/>
          <w:sz w:val="22"/>
          <w:szCs w:val="22"/>
        </w:rPr>
        <w:t> </w:t>
      </w:r>
    </w:p>
    <w:p w14:paraId="163D6AC1" w14:textId="77777777" w:rsidR="000A3A44" w:rsidRDefault="000A3A44" w:rsidP="00BC2130">
      <w:pPr>
        <w:pStyle w:val="paragraph"/>
        <w:numPr>
          <w:ilvl w:val="0"/>
          <w:numId w:val="11"/>
        </w:numPr>
        <w:tabs>
          <w:tab w:val="clear" w:pos="720"/>
          <w:tab w:val="num" w:pos="1395"/>
        </w:tabs>
        <w:spacing w:before="0" w:beforeAutospacing="0" w:after="0" w:afterAutospacing="0"/>
        <w:ind w:left="1077" w:firstLine="0"/>
        <w:jc w:val="both"/>
        <w:textAlignment w:val="baseline"/>
        <w:rPr>
          <w:rFonts w:ascii="Calibri" w:hAnsi="Calibri" w:cs="Calibri"/>
          <w:sz w:val="22"/>
          <w:szCs w:val="22"/>
        </w:rPr>
      </w:pPr>
      <w:r>
        <w:rPr>
          <w:rStyle w:val="normaltextrun"/>
          <w:rFonts w:ascii="Calibri" w:hAnsi="Calibri" w:cs="Calibri"/>
          <w:sz w:val="22"/>
          <w:szCs w:val="22"/>
        </w:rPr>
        <w:t>incorporating a clear social good focus and a drive for resource optimisation</w:t>
      </w:r>
      <w:r>
        <w:rPr>
          <w:rStyle w:val="eop"/>
          <w:rFonts w:ascii="Calibri" w:hAnsi="Calibri" w:cs="Calibri"/>
          <w:sz w:val="22"/>
          <w:szCs w:val="22"/>
        </w:rPr>
        <w:t> </w:t>
      </w:r>
    </w:p>
    <w:p w14:paraId="4D3527A8" w14:textId="77777777" w:rsidR="000A3A44" w:rsidRDefault="000A3A44" w:rsidP="00217A77">
      <w:pPr>
        <w:pStyle w:val="paragraph"/>
        <w:numPr>
          <w:ilvl w:val="0"/>
          <w:numId w:val="12"/>
        </w:numPr>
        <w:tabs>
          <w:tab w:val="num" w:pos="1395"/>
        </w:tabs>
        <w:spacing w:before="0" w:beforeAutospacing="0" w:after="0" w:afterAutospacing="0"/>
        <w:ind w:left="1361" w:hanging="284"/>
        <w:jc w:val="both"/>
        <w:textAlignment w:val="baseline"/>
        <w:rPr>
          <w:rFonts w:ascii="Calibri" w:hAnsi="Calibri" w:cs="Calibri"/>
          <w:sz w:val="22"/>
          <w:szCs w:val="22"/>
        </w:rPr>
      </w:pPr>
      <w:r>
        <w:rPr>
          <w:rStyle w:val="normaltextrun"/>
          <w:rFonts w:ascii="Calibri" w:hAnsi="Calibri" w:cs="Calibri"/>
          <w:sz w:val="22"/>
          <w:szCs w:val="22"/>
        </w:rPr>
        <w:t>securing financial viability, reputational enhancement and a credible connection to Strategy</w:t>
      </w:r>
      <w:r w:rsidR="00BC2130">
        <w:rPr>
          <w:rStyle w:val="normaltextrun"/>
          <w:rFonts w:ascii="Calibri" w:hAnsi="Calibri" w:cs="Calibri"/>
          <w:sz w:val="22"/>
          <w:szCs w:val="22"/>
        </w:rPr>
        <w:t> </w:t>
      </w:r>
      <w:r>
        <w:rPr>
          <w:rStyle w:val="normaltextrun"/>
          <w:rFonts w:ascii="Calibri" w:hAnsi="Calibri" w:cs="Calibri"/>
          <w:sz w:val="22"/>
          <w:szCs w:val="22"/>
        </w:rPr>
        <w:t>2025</w:t>
      </w:r>
      <w:r>
        <w:rPr>
          <w:rStyle w:val="eop"/>
          <w:rFonts w:ascii="Calibri" w:hAnsi="Calibri" w:cs="Calibri"/>
          <w:sz w:val="22"/>
          <w:szCs w:val="22"/>
        </w:rPr>
        <w:t> </w:t>
      </w:r>
    </w:p>
    <w:p w14:paraId="0B3F450E" w14:textId="77777777" w:rsidR="006D3608" w:rsidRPr="00BC2130" w:rsidRDefault="000A3A44" w:rsidP="00BC2130">
      <w:pPr>
        <w:pStyle w:val="paragraph"/>
        <w:spacing w:before="0" w:beforeAutospacing="0" w:after="0" w:afterAutospacing="0"/>
        <w:ind w:left="1080"/>
        <w:jc w:val="both"/>
        <w:textAlignment w:val="baseline"/>
        <w:rPr>
          <w:rFonts w:ascii="Segoe UI" w:hAnsi="Segoe UI" w:cs="Segoe UI"/>
          <w:sz w:val="18"/>
          <w:szCs w:val="18"/>
        </w:rPr>
      </w:pPr>
      <w:r>
        <w:rPr>
          <w:rStyle w:val="normaltextrun"/>
          <w:rFonts w:ascii="Calibri" w:hAnsi="Calibri" w:cs="Calibri"/>
          <w:sz w:val="22"/>
          <w:szCs w:val="22"/>
        </w:rPr>
        <w:t xml:space="preserve">Following approval from the Board, it was agreed that an internal College wide consultation exercise would take place during the months of February and March 2025, to run concurrently with external stakeholder engagement.  After a period of refinement to the proposal based upon feedback, the intention would then be to seek NCL Board members’ approval to the final </w:t>
      </w:r>
      <w:r>
        <w:rPr>
          <w:rStyle w:val="normaltextrun"/>
          <w:rFonts w:ascii="Calibri" w:hAnsi="Calibri" w:cs="Calibri"/>
          <w:sz w:val="22"/>
          <w:szCs w:val="22"/>
        </w:rPr>
        <w:lastRenderedPageBreak/>
        <w:t>Strategy 2030 document by no later than June 2025 and set a formal launch date of 1</w:t>
      </w:r>
      <w:r>
        <w:rPr>
          <w:rStyle w:val="normaltextrun"/>
          <w:rFonts w:ascii="Calibri" w:hAnsi="Calibri" w:cs="Calibri"/>
          <w:sz w:val="17"/>
          <w:szCs w:val="17"/>
          <w:vertAlign w:val="superscript"/>
        </w:rPr>
        <w:t>st</w:t>
      </w:r>
      <w:r>
        <w:rPr>
          <w:rStyle w:val="normaltextrun"/>
          <w:rFonts w:ascii="Calibri" w:hAnsi="Calibri" w:cs="Calibri"/>
          <w:sz w:val="22"/>
          <w:szCs w:val="22"/>
        </w:rPr>
        <w:t xml:space="preserve"> September 2025.</w:t>
      </w:r>
      <w:r>
        <w:rPr>
          <w:rStyle w:val="eop"/>
          <w:rFonts w:ascii="Calibri" w:hAnsi="Calibri" w:cs="Calibri"/>
          <w:sz w:val="22"/>
          <w:szCs w:val="22"/>
        </w:rPr>
        <w:t> </w:t>
      </w:r>
    </w:p>
    <w:p w14:paraId="1548E894" w14:textId="77777777" w:rsidR="0091770B" w:rsidRPr="00251604" w:rsidRDefault="0091770B" w:rsidP="00251604">
      <w:pPr>
        <w:pStyle w:val="ListParagraph"/>
        <w:numPr>
          <w:ilvl w:val="0"/>
          <w:numId w:val="3"/>
        </w:numPr>
        <w:spacing w:after="0" w:line="240" w:lineRule="auto"/>
        <w:jc w:val="both"/>
        <w:rPr>
          <w:rFonts w:cstheme="minorHAnsi"/>
          <w:b/>
        </w:rPr>
      </w:pPr>
      <w:r w:rsidRPr="00251604">
        <w:rPr>
          <w:rFonts w:cstheme="minorHAnsi"/>
          <w:b/>
        </w:rPr>
        <w:t xml:space="preserve">Professional Services Review:  </w:t>
      </w:r>
      <w:r w:rsidRPr="00251604">
        <w:rPr>
          <w:rFonts w:cstheme="minorHAnsi"/>
        </w:rPr>
        <w:t xml:space="preserve">This is </w:t>
      </w:r>
      <w:r w:rsidR="006D3608" w:rsidRPr="00251604">
        <w:rPr>
          <w:rFonts w:cstheme="minorHAnsi"/>
        </w:rPr>
        <w:t xml:space="preserve">now complete.  </w:t>
      </w:r>
    </w:p>
    <w:p w14:paraId="290F3BFA" w14:textId="77777777" w:rsidR="0091770B" w:rsidRDefault="0091770B" w:rsidP="00251604">
      <w:pPr>
        <w:pStyle w:val="paragraph"/>
        <w:numPr>
          <w:ilvl w:val="0"/>
          <w:numId w:val="3"/>
        </w:numPr>
        <w:spacing w:before="0" w:beforeAutospacing="0" w:after="0" w:afterAutospacing="0"/>
        <w:jc w:val="both"/>
        <w:textAlignment w:val="baseline"/>
        <w:rPr>
          <w:rFonts w:asciiTheme="minorHAnsi" w:hAnsiTheme="minorHAnsi" w:cstheme="minorHAnsi"/>
          <w:sz w:val="22"/>
          <w:szCs w:val="22"/>
        </w:rPr>
      </w:pPr>
      <w:r w:rsidRPr="00FB3772">
        <w:rPr>
          <w:rFonts w:asciiTheme="minorHAnsi" w:hAnsiTheme="minorHAnsi" w:cstheme="minorHAnsi"/>
          <w:b/>
          <w:sz w:val="22"/>
          <w:szCs w:val="22"/>
        </w:rPr>
        <w:t>CES (College Employers Scotland):  Job evaluation</w:t>
      </w:r>
      <w:r w:rsidRPr="00FB3772">
        <w:rPr>
          <w:rFonts w:asciiTheme="minorHAnsi" w:hAnsiTheme="minorHAnsi" w:cstheme="minorHAnsi"/>
          <w:sz w:val="22"/>
          <w:szCs w:val="22"/>
        </w:rPr>
        <w:t xml:space="preserve">  </w:t>
      </w:r>
      <w:r w:rsidR="006D3608">
        <w:rPr>
          <w:rFonts w:asciiTheme="minorHAnsi" w:hAnsiTheme="minorHAnsi" w:cstheme="minorHAnsi"/>
          <w:sz w:val="22"/>
          <w:szCs w:val="22"/>
        </w:rPr>
        <w:t xml:space="preserve">A joint communication has been issued by </w:t>
      </w:r>
      <w:r w:rsidR="00BC2130">
        <w:rPr>
          <w:rFonts w:asciiTheme="minorHAnsi" w:hAnsiTheme="minorHAnsi" w:cstheme="minorHAnsi"/>
          <w:sz w:val="22"/>
          <w:szCs w:val="22"/>
        </w:rPr>
        <w:t xml:space="preserve">CES, </w:t>
      </w:r>
      <w:r w:rsidR="006D3608">
        <w:rPr>
          <w:rFonts w:asciiTheme="minorHAnsi" w:hAnsiTheme="minorHAnsi" w:cstheme="minorHAnsi"/>
          <w:sz w:val="22"/>
          <w:szCs w:val="22"/>
        </w:rPr>
        <w:t>UNISON and UNITE</w:t>
      </w:r>
      <w:r w:rsidR="00BC2130">
        <w:rPr>
          <w:rFonts w:asciiTheme="minorHAnsi" w:hAnsiTheme="minorHAnsi" w:cstheme="minorHAnsi"/>
          <w:sz w:val="22"/>
          <w:szCs w:val="22"/>
        </w:rPr>
        <w:t>, essentially indicating that the project will be reinitiated.  A revised workplan is in development.</w:t>
      </w:r>
    </w:p>
    <w:p w14:paraId="487CA0DD" w14:textId="77777777" w:rsidR="00251604" w:rsidRPr="00F66699" w:rsidRDefault="00F66699" w:rsidP="00F66699">
      <w:pPr>
        <w:pStyle w:val="ListParagraph"/>
        <w:numPr>
          <w:ilvl w:val="0"/>
          <w:numId w:val="20"/>
        </w:numPr>
        <w:spacing w:after="0" w:line="240" w:lineRule="auto"/>
        <w:jc w:val="both"/>
        <w:textAlignment w:val="baseline"/>
        <w:rPr>
          <w:rFonts w:ascii="Segoe UI" w:eastAsia="Times New Roman" w:hAnsi="Segoe UI" w:cs="Segoe UI"/>
          <w:sz w:val="18"/>
          <w:szCs w:val="18"/>
          <w:lang w:eastAsia="en-GB"/>
        </w:rPr>
      </w:pPr>
      <w:r>
        <w:rPr>
          <w:rFonts w:ascii="Calibri" w:eastAsia="Times New Roman" w:hAnsi="Calibri" w:cs="Calibri"/>
          <w:b/>
          <w:bCs/>
          <w:lang w:eastAsia="en-GB"/>
        </w:rPr>
        <w:t>N</w:t>
      </w:r>
      <w:r w:rsidR="00251604" w:rsidRPr="00F66699">
        <w:rPr>
          <w:rFonts w:ascii="Calibri" w:eastAsia="Times New Roman" w:hAnsi="Calibri" w:cs="Calibri"/>
          <w:b/>
          <w:bCs/>
          <w:lang w:eastAsia="en-GB"/>
        </w:rPr>
        <w:t>ational Bargaining Update – NJNC Central Committee</w:t>
      </w:r>
      <w:r w:rsidR="00251604" w:rsidRPr="00F66699">
        <w:rPr>
          <w:rFonts w:ascii="Calibri" w:eastAsia="Times New Roman" w:hAnsi="Calibri" w:cs="Calibri"/>
          <w:lang w:eastAsia="en-GB"/>
        </w:rPr>
        <w:t xml:space="preserve">: </w:t>
      </w:r>
      <w:r w:rsidR="00251604" w:rsidRPr="00F66699">
        <w:rPr>
          <w:rFonts w:ascii="Calibri" w:eastAsia="Times New Roman" w:hAnsi="Calibri" w:cs="Calibri"/>
          <w:b/>
          <w:bCs/>
          <w:i/>
          <w:iCs/>
          <w:lang w:eastAsia="en-GB"/>
        </w:rPr>
        <w:t>Covid Circular </w:t>
      </w:r>
      <w:r w:rsidR="00251604" w:rsidRPr="00F66699">
        <w:rPr>
          <w:rFonts w:ascii="Calibri" w:eastAsia="Times New Roman" w:hAnsi="Calibri" w:cs="Calibri"/>
          <w:lang w:eastAsia="en-GB"/>
        </w:rPr>
        <w:t> </w:t>
      </w:r>
    </w:p>
    <w:p w14:paraId="70341D37" w14:textId="77777777" w:rsidR="00251604" w:rsidRPr="00500D9C" w:rsidRDefault="00251604" w:rsidP="007F26E4">
      <w:pPr>
        <w:pStyle w:val="ListParagraph"/>
        <w:spacing w:after="0" w:line="240" w:lineRule="auto"/>
        <w:ind w:left="1080"/>
        <w:jc w:val="both"/>
        <w:textAlignment w:val="baseline"/>
        <w:rPr>
          <w:rFonts w:ascii="Segoe UI" w:eastAsia="Times New Roman" w:hAnsi="Segoe UI" w:cs="Segoe UI"/>
          <w:lang w:eastAsia="en-GB"/>
        </w:rPr>
      </w:pPr>
      <w:r w:rsidRPr="00251604">
        <w:rPr>
          <w:rFonts w:ascii="Calibri" w:eastAsia="Times New Roman" w:hAnsi="Calibri" w:cs="Calibri"/>
          <w:lang w:eastAsia="en-GB"/>
        </w:rPr>
        <w:t xml:space="preserve">It was agreed, at the December 2023 Central Committee, to re-negotiate </w:t>
      </w:r>
      <w:r w:rsidRPr="00251604">
        <w:rPr>
          <w:rFonts w:ascii="Calibri" w:eastAsia="Times New Roman" w:hAnsi="Calibri" w:cs="Calibri"/>
          <w:i/>
          <w:iCs/>
          <w:lang w:eastAsia="en-GB"/>
        </w:rPr>
        <w:t>Circular 01/20 – COVID-19 – Guidance on Paid Leave for Lecturing and Support Staff</w:t>
      </w:r>
      <w:r w:rsidRPr="00251604">
        <w:rPr>
          <w:rFonts w:ascii="Calibri" w:eastAsia="Times New Roman" w:hAnsi="Calibri" w:cs="Calibri"/>
          <w:lang w:eastAsia="en-GB"/>
        </w:rPr>
        <w:t xml:space="preserve"> and that this would take </w:t>
      </w:r>
      <w:r w:rsidRPr="00500D9C">
        <w:rPr>
          <w:rFonts w:ascii="Calibri" w:eastAsia="Times New Roman" w:hAnsi="Calibri" w:cs="Calibri"/>
          <w:lang w:eastAsia="en-GB"/>
        </w:rPr>
        <w:t>place over an expedited timeframe as part of a Short Life Working Group (SLWG).   Discussions are still ongoing with regards to the content of a revised circular. The management side advised that their position remained and paid special leave will no longer apply for absent staff due to Covid.  </w:t>
      </w:r>
    </w:p>
    <w:p w14:paraId="1A51CC81" w14:textId="77777777" w:rsidR="007F26E4" w:rsidRPr="00500D9C" w:rsidRDefault="007F26E4" w:rsidP="004D6B31">
      <w:pPr>
        <w:pStyle w:val="paragraph"/>
        <w:numPr>
          <w:ilvl w:val="0"/>
          <w:numId w:val="15"/>
        </w:numPr>
        <w:spacing w:before="0" w:beforeAutospacing="0" w:after="0" w:afterAutospacing="0"/>
        <w:ind w:left="1077" w:hanging="357"/>
        <w:jc w:val="both"/>
        <w:textAlignment w:val="baseline"/>
        <w:rPr>
          <w:rFonts w:ascii="Segoe UI" w:hAnsi="Segoe UI" w:cs="Segoe UI"/>
          <w:sz w:val="22"/>
          <w:szCs w:val="22"/>
        </w:rPr>
      </w:pPr>
      <w:r w:rsidRPr="00500D9C">
        <w:rPr>
          <w:rStyle w:val="normaltextrun"/>
          <w:rFonts w:ascii="Calibri" w:hAnsi="Calibri" w:cs="Calibri"/>
          <w:b/>
          <w:bCs/>
          <w:sz w:val="22"/>
          <w:szCs w:val="22"/>
        </w:rPr>
        <w:t>Joint Negotiating Committee Update:  JNC Academic</w:t>
      </w:r>
      <w:r w:rsidRPr="00500D9C">
        <w:rPr>
          <w:rStyle w:val="eop"/>
          <w:rFonts w:ascii="Calibri" w:hAnsi="Calibri" w:cs="Calibri"/>
          <w:sz w:val="22"/>
          <w:szCs w:val="22"/>
        </w:rPr>
        <w:t> </w:t>
      </w:r>
    </w:p>
    <w:p w14:paraId="4F1F3EB7" w14:textId="77777777" w:rsidR="007F26E4" w:rsidRPr="00500D9C" w:rsidRDefault="007F26E4" w:rsidP="007F26E4">
      <w:pPr>
        <w:pStyle w:val="paragraph"/>
        <w:spacing w:before="0" w:beforeAutospacing="0" w:after="0" w:afterAutospacing="0"/>
        <w:ind w:left="720" w:firstLine="360"/>
        <w:jc w:val="both"/>
        <w:textAlignment w:val="baseline"/>
        <w:rPr>
          <w:rFonts w:ascii="Segoe UI" w:hAnsi="Segoe UI" w:cs="Segoe UI"/>
          <w:sz w:val="22"/>
          <w:szCs w:val="22"/>
        </w:rPr>
      </w:pPr>
      <w:r w:rsidRPr="00500D9C">
        <w:rPr>
          <w:rStyle w:val="normaltextrun"/>
          <w:rFonts w:ascii="Calibri" w:hAnsi="Calibri" w:cs="Calibri"/>
          <w:sz w:val="22"/>
          <w:szCs w:val="22"/>
        </w:rPr>
        <w:t>Evaluation of Learning and Teaching</w:t>
      </w:r>
      <w:r w:rsidRPr="00500D9C">
        <w:rPr>
          <w:rStyle w:val="eop"/>
          <w:rFonts w:ascii="Calibri" w:hAnsi="Calibri" w:cs="Calibri"/>
          <w:sz w:val="22"/>
          <w:szCs w:val="22"/>
        </w:rPr>
        <w:t> </w:t>
      </w:r>
    </w:p>
    <w:p w14:paraId="7CB5C1C0" w14:textId="77777777" w:rsidR="007F26E4" w:rsidRDefault="007F26E4" w:rsidP="004D6B31">
      <w:pPr>
        <w:pStyle w:val="paragraph"/>
        <w:spacing w:before="0" w:beforeAutospacing="0" w:after="0" w:afterAutospacing="0"/>
        <w:ind w:left="1080"/>
        <w:jc w:val="both"/>
        <w:textAlignment w:val="baseline"/>
        <w:rPr>
          <w:rFonts w:ascii="Segoe UI" w:hAnsi="Segoe UI" w:cs="Segoe UI"/>
          <w:sz w:val="18"/>
          <w:szCs w:val="18"/>
        </w:rPr>
      </w:pPr>
      <w:r w:rsidRPr="00500D9C">
        <w:rPr>
          <w:rStyle w:val="normaltextrun"/>
          <w:rFonts w:ascii="Calibri" w:hAnsi="Calibri" w:cs="Calibri"/>
          <w:sz w:val="22"/>
          <w:szCs w:val="22"/>
        </w:rPr>
        <w:t>Management tabled a draft paper which was designed to reflect the Quality Assurance Agency (QAA)’s requirements, now that QAA was replacing Education Scotland.  It was noted that peer observation in</w:t>
      </w:r>
      <w:r>
        <w:rPr>
          <w:rStyle w:val="normaltextrun"/>
          <w:rFonts w:ascii="Calibri" w:hAnsi="Calibri" w:cs="Calibri"/>
          <w:sz w:val="22"/>
          <w:szCs w:val="22"/>
        </w:rPr>
        <w:t xml:space="preserve"> the classroom is what QAA is looking for.  Other colleges and universities carry this activity out currently and see the benefit of it, and therefore it was hoped that the introduction of this practice at NCL would be recognised as a positive way forward, providing professional support and empowering lecturing staff.</w:t>
      </w:r>
      <w:r>
        <w:rPr>
          <w:rStyle w:val="eop"/>
          <w:rFonts w:ascii="Calibri" w:hAnsi="Calibri" w:cs="Calibri"/>
          <w:sz w:val="22"/>
          <w:szCs w:val="22"/>
        </w:rPr>
        <w:t> </w:t>
      </w:r>
    </w:p>
    <w:p w14:paraId="63D6E9B2" w14:textId="77777777" w:rsidR="008F47BC" w:rsidRDefault="007F26E4" w:rsidP="008F47BC">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46D030BF" w14:textId="77777777" w:rsidR="007F26E4" w:rsidRDefault="007F26E4" w:rsidP="008F47BC">
      <w:pPr>
        <w:pStyle w:val="paragraph"/>
        <w:spacing w:before="0" w:beforeAutospacing="0" w:after="0" w:afterAutospacing="0"/>
        <w:ind w:left="1077"/>
        <w:textAlignment w:val="baseline"/>
        <w:rPr>
          <w:rFonts w:ascii="Segoe UI" w:hAnsi="Segoe UI" w:cs="Segoe UI"/>
          <w:sz w:val="18"/>
          <w:szCs w:val="18"/>
        </w:rPr>
      </w:pPr>
      <w:r>
        <w:rPr>
          <w:rStyle w:val="normaltextrun"/>
          <w:rFonts w:ascii="Calibri" w:hAnsi="Calibri" w:cs="Calibri"/>
          <w:sz w:val="22"/>
          <w:szCs w:val="22"/>
        </w:rPr>
        <w:t>The trade union’s view was that the introduction of peer observation indicated that staff</w:t>
      </w:r>
      <w:r>
        <w:rPr>
          <w:rStyle w:val="normaltextrun"/>
          <w:rFonts w:ascii="Calibri" w:hAnsi="Calibri" w:cs="Calibri"/>
          <w:b/>
          <w:bCs/>
          <w:sz w:val="22"/>
          <w:szCs w:val="22"/>
        </w:rPr>
        <w:t xml:space="preserve"> </w:t>
      </w:r>
      <w:r>
        <w:rPr>
          <w:rStyle w:val="normaltextrun"/>
          <w:rFonts w:ascii="Calibri" w:hAnsi="Calibri" w:cs="Calibri"/>
          <w:sz w:val="22"/>
          <w:szCs w:val="22"/>
        </w:rPr>
        <w:t>are not trusted to teach or reflect their own teaching practices.  They also expressed concerns that there would be no option to opt out of this activity.  It was agreed that further consultation would be required before the proposal could be put forward to lecturing staff the paper could not be put out to staff in its current form.</w:t>
      </w:r>
      <w:r>
        <w:rPr>
          <w:rStyle w:val="normaltextrun"/>
          <w:rFonts w:ascii="Calibri" w:hAnsi="Calibri" w:cs="Calibri"/>
          <w:b/>
          <w:bCs/>
          <w:sz w:val="22"/>
          <w:szCs w:val="22"/>
        </w:rPr>
        <w:t> </w:t>
      </w:r>
      <w:r>
        <w:rPr>
          <w:rStyle w:val="eop"/>
          <w:rFonts w:ascii="Calibri" w:hAnsi="Calibri" w:cs="Calibri"/>
          <w:sz w:val="22"/>
          <w:szCs w:val="22"/>
        </w:rPr>
        <w:t> </w:t>
      </w:r>
    </w:p>
    <w:p w14:paraId="3BEAFC7C" w14:textId="77777777" w:rsidR="004D6B31" w:rsidRPr="004D6B31" w:rsidRDefault="004D6B31" w:rsidP="00500D9C">
      <w:pPr>
        <w:pStyle w:val="paragraph"/>
        <w:numPr>
          <w:ilvl w:val="0"/>
          <w:numId w:val="19"/>
        </w:numPr>
        <w:spacing w:before="0" w:beforeAutospacing="0" w:after="0" w:afterAutospacing="0"/>
        <w:ind w:left="1077" w:hanging="357"/>
        <w:jc w:val="both"/>
        <w:textAlignment w:val="baseline"/>
        <w:rPr>
          <w:rFonts w:ascii="Segoe UI" w:hAnsi="Segoe UI" w:cs="Segoe UI"/>
          <w:sz w:val="18"/>
          <w:szCs w:val="18"/>
        </w:rPr>
      </w:pPr>
      <w:r w:rsidRPr="004D6B31">
        <w:rPr>
          <w:rStyle w:val="normaltextrun"/>
          <w:rFonts w:ascii="Calibri" w:hAnsi="Calibri" w:cs="Calibri"/>
          <w:b/>
          <w:bCs/>
          <w:sz w:val="22"/>
          <w:szCs w:val="22"/>
        </w:rPr>
        <w:t>JNC Professional Services</w:t>
      </w:r>
      <w:r w:rsidRPr="004D6B31">
        <w:rPr>
          <w:rStyle w:val="eop"/>
          <w:rFonts w:ascii="Calibri" w:hAnsi="Calibri" w:cs="Calibri"/>
          <w:sz w:val="22"/>
          <w:szCs w:val="22"/>
        </w:rPr>
        <w:t> </w:t>
      </w:r>
    </w:p>
    <w:p w14:paraId="40E4E681" w14:textId="77777777" w:rsidR="00500D9C" w:rsidRDefault="00500D9C" w:rsidP="00500D9C">
      <w:pPr>
        <w:pStyle w:val="paragraph"/>
        <w:spacing w:before="0" w:beforeAutospacing="0" w:after="0" w:afterAutospacing="0"/>
        <w:ind w:left="1077"/>
        <w:jc w:val="both"/>
        <w:textAlignment w:val="baseline"/>
        <w:rPr>
          <w:rStyle w:val="tabchar"/>
          <w:rFonts w:ascii="Calibri" w:hAnsi="Calibri" w:cs="Calibri"/>
          <w:sz w:val="22"/>
          <w:szCs w:val="22"/>
        </w:rPr>
      </w:pPr>
      <w:r>
        <w:rPr>
          <w:rStyle w:val="normaltextrun"/>
          <w:rFonts w:ascii="Calibri" w:hAnsi="Calibri" w:cs="Calibri"/>
          <w:sz w:val="22"/>
          <w:szCs w:val="22"/>
        </w:rPr>
        <w:t>NCL is</w:t>
      </w:r>
      <w:r w:rsidR="004D6B31">
        <w:rPr>
          <w:rStyle w:val="normaltextrun"/>
          <w:rFonts w:ascii="Calibri" w:hAnsi="Calibri" w:cs="Calibri"/>
          <w:sz w:val="22"/>
          <w:szCs w:val="22"/>
        </w:rPr>
        <w:t xml:space="preserve"> in the process of scheduling a JNC Professional Services meeting</w:t>
      </w:r>
      <w:r w:rsidR="00CA5008">
        <w:rPr>
          <w:rStyle w:val="normaltextrun"/>
          <w:rFonts w:ascii="Calibri" w:hAnsi="Calibri" w:cs="Calibri"/>
          <w:sz w:val="22"/>
          <w:szCs w:val="22"/>
        </w:rPr>
        <w:t xml:space="preserve"> </w:t>
      </w:r>
      <w:r>
        <w:rPr>
          <w:rStyle w:val="normaltextrun"/>
          <w:rFonts w:ascii="Calibri" w:hAnsi="Calibri" w:cs="Calibri"/>
          <w:sz w:val="22"/>
          <w:szCs w:val="22"/>
        </w:rPr>
        <w:t xml:space="preserve">in response to requests from </w:t>
      </w:r>
      <w:r w:rsidR="004D6B31">
        <w:rPr>
          <w:rStyle w:val="normaltextrun"/>
          <w:rFonts w:ascii="Calibri" w:hAnsi="Calibri" w:cs="Calibri"/>
          <w:sz w:val="22"/>
          <w:szCs w:val="22"/>
        </w:rPr>
        <w:t xml:space="preserve">UNISON and Unite </w:t>
      </w:r>
      <w:r>
        <w:rPr>
          <w:rStyle w:val="normaltextrun"/>
          <w:rFonts w:ascii="Calibri" w:hAnsi="Calibri" w:cs="Calibri"/>
          <w:sz w:val="22"/>
          <w:szCs w:val="22"/>
        </w:rPr>
        <w:t xml:space="preserve">to </w:t>
      </w:r>
      <w:r w:rsidR="004D6B31">
        <w:rPr>
          <w:rStyle w:val="normaltextrun"/>
          <w:rFonts w:ascii="Calibri" w:hAnsi="Calibri" w:cs="Calibri"/>
          <w:sz w:val="22"/>
          <w:szCs w:val="22"/>
        </w:rPr>
        <w:t>have the recommencement of local meetings with NCL.  The JNC Professional Services was last convened on 30 March 2023. </w:t>
      </w:r>
      <w:r w:rsidR="004D6B31">
        <w:rPr>
          <w:rStyle w:val="eop"/>
          <w:rFonts w:ascii="Calibri" w:hAnsi="Calibri" w:cs="Calibri"/>
          <w:sz w:val="22"/>
          <w:szCs w:val="22"/>
        </w:rPr>
        <w:t> </w:t>
      </w:r>
      <w:r w:rsidR="004D6B31">
        <w:rPr>
          <w:rStyle w:val="tabchar"/>
          <w:rFonts w:ascii="Calibri" w:hAnsi="Calibri" w:cs="Calibri"/>
          <w:sz w:val="22"/>
          <w:szCs w:val="22"/>
        </w:rPr>
        <w:t xml:space="preserve"> </w:t>
      </w:r>
    </w:p>
    <w:p w14:paraId="286BCB51" w14:textId="77777777" w:rsidR="004D6B31" w:rsidRPr="00500D9C" w:rsidRDefault="004D6B31" w:rsidP="00F66699">
      <w:pPr>
        <w:pStyle w:val="paragraph"/>
        <w:numPr>
          <w:ilvl w:val="0"/>
          <w:numId w:val="19"/>
        </w:numPr>
        <w:spacing w:before="0" w:beforeAutospacing="0" w:after="0" w:afterAutospacing="0"/>
        <w:jc w:val="both"/>
        <w:textAlignment w:val="baseline"/>
        <w:rPr>
          <w:rFonts w:ascii="Segoe UI" w:hAnsi="Segoe UI" w:cs="Segoe UI"/>
          <w:sz w:val="18"/>
          <w:szCs w:val="18"/>
        </w:rPr>
      </w:pPr>
      <w:r w:rsidRPr="00500D9C">
        <w:rPr>
          <w:rStyle w:val="normaltextrun"/>
          <w:rFonts w:ascii="Calibri" w:hAnsi="Calibri" w:cs="Calibri"/>
          <w:b/>
          <w:bCs/>
          <w:sz w:val="22"/>
          <w:szCs w:val="22"/>
        </w:rPr>
        <w:t>Local Recognition and Procedure Agreement</w:t>
      </w:r>
      <w:r w:rsidRPr="00500D9C">
        <w:rPr>
          <w:rStyle w:val="eop"/>
          <w:rFonts w:ascii="Calibri" w:hAnsi="Calibri" w:cs="Calibri"/>
          <w:sz w:val="22"/>
          <w:szCs w:val="22"/>
        </w:rPr>
        <w:t> </w:t>
      </w:r>
    </w:p>
    <w:p w14:paraId="4A639DD8" w14:textId="77777777" w:rsidR="004D6B31" w:rsidRDefault="004D6B31" w:rsidP="005E2046">
      <w:pPr>
        <w:pStyle w:val="paragraph"/>
        <w:spacing w:before="0" w:beforeAutospacing="0" w:after="0" w:afterAutospacing="0"/>
        <w:ind w:left="1077"/>
        <w:jc w:val="both"/>
        <w:textAlignment w:val="baseline"/>
        <w:rPr>
          <w:rFonts w:ascii="Segoe UI" w:hAnsi="Segoe UI" w:cs="Segoe UI"/>
          <w:sz w:val="18"/>
          <w:szCs w:val="18"/>
        </w:rPr>
      </w:pPr>
      <w:r>
        <w:rPr>
          <w:rStyle w:val="normaltextrun"/>
          <w:rFonts w:ascii="Calibri" w:hAnsi="Calibri" w:cs="Calibri"/>
          <w:color w:val="000000"/>
          <w:sz w:val="22"/>
          <w:szCs w:val="22"/>
        </w:rPr>
        <w:t>A new Recognition and Procedure Agreement between the Board of Management of NCL and UNISON Scotland Further Education Branch and Unite was formally signed off by all parties on 22 January 2025.</w:t>
      </w:r>
    </w:p>
    <w:p w14:paraId="6AAB42E1" w14:textId="77777777" w:rsidR="004D6B31" w:rsidRPr="005E2046" w:rsidRDefault="004D6B31" w:rsidP="005E2046">
      <w:pPr>
        <w:pStyle w:val="paragraph"/>
        <w:numPr>
          <w:ilvl w:val="0"/>
          <w:numId w:val="19"/>
        </w:numPr>
        <w:spacing w:before="0" w:beforeAutospacing="0" w:after="0" w:afterAutospacing="0"/>
        <w:textAlignment w:val="baseline"/>
        <w:rPr>
          <w:rFonts w:asciiTheme="minorHAnsi" w:hAnsiTheme="minorHAnsi" w:cstheme="minorHAnsi"/>
          <w:sz w:val="22"/>
        </w:rPr>
      </w:pPr>
      <w:r w:rsidRPr="005E2046">
        <w:rPr>
          <w:rStyle w:val="normaltextrun"/>
          <w:rFonts w:asciiTheme="minorHAnsi" w:hAnsiTheme="minorHAnsi" w:cstheme="minorHAnsi"/>
          <w:b/>
          <w:bCs/>
          <w:sz w:val="22"/>
        </w:rPr>
        <w:t>Public Sector Equality Duty (PSED) Report</w:t>
      </w:r>
      <w:r w:rsidRPr="005E2046">
        <w:rPr>
          <w:rStyle w:val="eop"/>
          <w:rFonts w:asciiTheme="minorHAnsi" w:hAnsiTheme="minorHAnsi" w:cstheme="minorHAnsi"/>
          <w:sz w:val="22"/>
        </w:rPr>
        <w:t> </w:t>
      </w:r>
    </w:p>
    <w:p w14:paraId="4731A2A8" w14:textId="77777777" w:rsidR="0091770B" w:rsidRDefault="004D6B31" w:rsidP="00997355">
      <w:pPr>
        <w:pStyle w:val="paragraph"/>
        <w:spacing w:before="0" w:beforeAutospacing="0" w:after="0" w:afterAutospacing="0"/>
        <w:ind w:left="1077"/>
        <w:jc w:val="both"/>
        <w:textAlignment w:val="baseline"/>
        <w:rPr>
          <w:rStyle w:val="eop"/>
          <w:rFonts w:asciiTheme="minorHAnsi" w:hAnsiTheme="minorHAnsi" w:cstheme="minorHAnsi"/>
          <w:sz w:val="22"/>
          <w:szCs w:val="22"/>
        </w:rPr>
      </w:pPr>
      <w:r w:rsidRPr="005E2046">
        <w:rPr>
          <w:rStyle w:val="normaltextrun"/>
          <w:rFonts w:asciiTheme="minorHAnsi" w:hAnsiTheme="minorHAnsi" w:cstheme="minorHAnsi"/>
          <w:sz w:val="22"/>
          <w:szCs w:val="22"/>
        </w:rPr>
        <w:t>Work is underway to enable publication by 30</w:t>
      </w:r>
      <w:r w:rsidR="005E2046">
        <w:rPr>
          <w:rStyle w:val="normaltextrun"/>
          <w:rFonts w:asciiTheme="minorHAnsi" w:hAnsiTheme="minorHAnsi" w:cstheme="minorHAnsi"/>
          <w:sz w:val="22"/>
          <w:szCs w:val="17"/>
          <w:vertAlign w:val="superscript"/>
        </w:rPr>
        <w:t xml:space="preserve"> </w:t>
      </w:r>
      <w:r w:rsidRPr="005E2046">
        <w:rPr>
          <w:rStyle w:val="normaltextrun"/>
          <w:rFonts w:asciiTheme="minorHAnsi" w:hAnsiTheme="minorHAnsi" w:cstheme="minorHAnsi"/>
          <w:sz w:val="22"/>
          <w:szCs w:val="22"/>
        </w:rPr>
        <w:t>April 2025. This includes consultation with staff,</w:t>
      </w:r>
      <w:r w:rsidR="005E2046">
        <w:rPr>
          <w:rStyle w:val="normaltextrun"/>
          <w:rFonts w:asciiTheme="minorHAnsi" w:hAnsiTheme="minorHAnsi" w:cstheme="minorHAnsi"/>
          <w:sz w:val="22"/>
          <w:szCs w:val="22"/>
        </w:rPr>
        <w:t xml:space="preserve"> </w:t>
      </w:r>
      <w:r w:rsidRPr="005E2046">
        <w:rPr>
          <w:rStyle w:val="normaltextrun"/>
          <w:rFonts w:asciiTheme="minorHAnsi" w:hAnsiTheme="minorHAnsi" w:cstheme="minorHAnsi"/>
          <w:sz w:val="22"/>
          <w:szCs w:val="22"/>
        </w:rPr>
        <w:t>students and trade unions to finalise NCL’s next cycle of equality outcomes for 2025-29.</w:t>
      </w:r>
      <w:r w:rsidRPr="005E2046">
        <w:rPr>
          <w:rStyle w:val="eop"/>
          <w:rFonts w:asciiTheme="minorHAnsi" w:hAnsiTheme="minorHAnsi" w:cstheme="minorHAnsi"/>
          <w:sz w:val="22"/>
          <w:szCs w:val="22"/>
        </w:rPr>
        <w:t> </w:t>
      </w:r>
    </w:p>
    <w:p w14:paraId="5639D69B" w14:textId="77777777" w:rsidR="00997355" w:rsidRPr="00997355" w:rsidRDefault="00997355" w:rsidP="00997355">
      <w:pPr>
        <w:pStyle w:val="paragraph"/>
        <w:spacing w:before="0" w:beforeAutospacing="0" w:after="0" w:afterAutospacing="0"/>
        <w:ind w:left="1077"/>
        <w:jc w:val="both"/>
        <w:textAlignment w:val="baseline"/>
        <w:rPr>
          <w:rFonts w:asciiTheme="minorHAnsi" w:hAnsiTheme="minorHAnsi" w:cstheme="minorHAnsi"/>
          <w:sz w:val="22"/>
          <w:szCs w:val="18"/>
        </w:rPr>
      </w:pPr>
    </w:p>
    <w:p w14:paraId="03EACE68" w14:textId="77777777" w:rsidR="0091770B" w:rsidRPr="00FB3772" w:rsidRDefault="0091770B" w:rsidP="0091770B">
      <w:pPr>
        <w:pStyle w:val="paragraph"/>
        <w:spacing w:before="0" w:beforeAutospacing="0" w:after="0" w:afterAutospacing="0"/>
        <w:jc w:val="both"/>
        <w:textAlignment w:val="baseline"/>
        <w:rPr>
          <w:rFonts w:asciiTheme="minorHAnsi" w:hAnsiTheme="minorHAnsi" w:cstheme="minorHAnsi"/>
          <w:b/>
          <w:sz w:val="22"/>
          <w:szCs w:val="22"/>
        </w:rPr>
      </w:pPr>
      <w:r w:rsidRPr="00FB3772">
        <w:rPr>
          <w:rFonts w:asciiTheme="minorHAnsi" w:hAnsiTheme="minorHAnsi" w:cstheme="minorHAnsi"/>
          <w:b/>
          <w:sz w:val="22"/>
          <w:szCs w:val="22"/>
        </w:rPr>
        <w:t>8.</w:t>
      </w:r>
      <w:r w:rsidRPr="00FB3772">
        <w:rPr>
          <w:rFonts w:asciiTheme="minorHAnsi" w:hAnsiTheme="minorHAnsi" w:cstheme="minorHAnsi"/>
          <w:b/>
          <w:sz w:val="22"/>
          <w:szCs w:val="22"/>
        </w:rPr>
        <w:tab/>
        <w:t>NCL Estates Update</w:t>
      </w:r>
    </w:p>
    <w:p w14:paraId="61FD13F1" w14:textId="77777777" w:rsidR="0091770B" w:rsidRDefault="0091770B" w:rsidP="00324F8B">
      <w:pPr>
        <w:pStyle w:val="paragraph"/>
        <w:spacing w:before="0" w:beforeAutospacing="0" w:after="0" w:afterAutospacing="0"/>
        <w:ind w:left="720"/>
        <w:jc w:val="both"/>
        <w:textAlignment w:val="baseline"/>
        <w:rPr>
          <w:rStyle w:val="normaltextrun"/>
          <w:rFonts w:asciiTheme="minorHAnsi" w:hAnsiTheme="minorHAnsi" w:cstheme="minorHAnsi"/>
          <w:sz w:val="22"/>
          <w:szCs w:val="22"/>
        </w:rPr>
      </w:pPr>
      <w:r w:rsidRPr="00FB3772">
        <w:rPr>
          <w:rStyle w:val="normaltextrun"/>
          <w:rFonts w:asciiTheme="minorHAnsi" w:hAnsiTheme="minorHAnsi" w:cstheme="minorHAnsi"/>
          <w:sz w:val="22"/>
          <w:szCs w:val="22"/>
        </w:rPr>
        <w:t>This paper was presented by Ronnie Gilmour.  RG highlighted:</w:t>
      </w:r>
    </w:p>
    <w:p w14:paraId="44F2EC2D" w14:textId="77777777" w:rsidR="00324F8B" w:rsidRPr="00324F8B" w:rsidRDefault="00324F8B" w:rsidP="00B676A2">
      <w:pPr>
        <w:pStyle w:val="ListParagraph"/>
        <w:numPr>
          <w:ilvl w:val="0"/>
          <w:numId w:val="19"/>
        </w:numPr>
        <w:spacing w:after="0" w:line="240" w:lineRule="auto"/>
        <w:jc w:val="both"/>
        <w:textAlignment w:val="baseline"/>
        <w:rPr>
          <w:rFonts w:ascii="Segoe UI" w:eastAsia="Times New Roman" w:hAnsi="Segoe UI" w:cs="Segoe UI"/>
          <w:sz w:val="18"/>
          <w:szCs w:val="18"/>
          <w:lang w:eastAsia="en-GB"/>
        </w:rPr>
      </w:pPr>
      <w:r w:rsidRPr="00324F8B">
        <w:rPr>
          <w:rFonts w:ascii="Calibri" w:eastAsia="Times New Roman" w:hAnsi="Calibri" w:cs="Calibri"/>
          <w:b/>
          <w:bCs/>
          <w:sz w:val="21"/>
          <w:szCs w:val="21"/>
          <w:lang w:eastAsia="en-GB"/>
        </w:rPr>
        <w:t>Procurement, Funding, and Finance</w:t>
      </w:r>
      <w:r>
        <w:rPr>
          <w:rFonts w:ascii="Calibri" w:eastAsia="Times New Roman" w:hAnsi="Calibri" w:cs="Calibri"/>
          <w:sz w:val="21"/>
          <w:szCs w:val="21"/>
          <w:lang w:eastAsia="en-GB"/>
        </w:rPr>
        <w:t xml:space="preserve">: </w:t>
      </w:r>
      <w:r w:rsidRPr="00324F8B">
        <w:rPr>
          <w:rFonts w:ascii="Calibri" w:eastAsia="Times New Roman" w:hAnsi="Calibri" w:cs="Calibri"/>
          <w:lang w:eastAsia="en-GB"/>
        </w:rPr>
        <w:t xml:space="preserve">In February 2025, Estates secured £159,600 through the SFC Emergency capital maintenance fund. This funding will be used to survey and repair fire doors across all campuses and complete fire door and fire stopping works in the Motherwell teaching block. </w:t>
      </w:r>
      <w:r w:rsidR="00B676A2">
        <w:rPr>
          <w:rFonts w:ascii="Calibri" w:eastAsia="Times New Roman" w:hAnsi="Calibri" w:cs="Calibri"/>
          <w:lang w:eastAsia="en-GB"/>
        </w:rPr>
        <w:t xml:space="preserve">The </w:t>
      </w:r>
      <w:r w:rsidRPr="00324F8B">
        <w:rPr>
          <w:rFonts w:ascii="Calibri" w:eastAsia="Times New Roman" w:hAnsi="Calibri" w:cs="Calibri"/>
          <w:lang w:eastAsia="en-GB"/>
        </w:rPr>
        <w:t>mid-year budget re-forecast</w:t>
      </w:r>
      <w:r w:rsidR="00B676A2">
        <w:rPr>
          <w:rFonts w:ascii="Calibri" w:eastAsia="Times New Roman" w:hAnsi="Calibri" w:cs="Calibri"/>
          <w:lang w:eastAsia="en-GB"/>
        </w:rPr>
        <w:t xml:space="preserve"> is in preparation</w:t>
      </w:r>
      <w:r w:rsidRPr="00324F8B">
        <w:rPr>
          <w:rFonts w:ascii="Calibri" w:eastAsia="Times New Roman" w:hAnsi="Calibri" w:cs="Calibri"/>
          <w:lang w:eastAsia="en-GB"/>
        </w:rPr>
        <w:t xml:space="preserve"> to ensure the delivery of maintenance and projects up to August 2025, working closely with Finance to monitor expenditure. </w:t>
      </w:r>
    </w:p>
    <w:p w14:paraId="365B5C34" w14:textId="77777777" w:rsidR="00B676A2" w:rsidRPr="00B676A2" w:rsidRDefault="00B676A2" w:rsidP="00316C84">
      <w:pPr>
        <w:pStyle w:val="paragraph"/>
        <w:numPr>
          <w:ilvl w:val="0"/>
          <w:numId w:val="19"/>
        </w:numPr>
        <w:spacing w:after="0" w:afterAutospacing="0"/>
        <w:jc w:val="both"/>
        <w:textAlignment w:val="baseline"/>
        <w:rPr>
          <w:rStyle w:val="eop"/>
          <w:rFonts w:ascii="Segoe UI" w:hAnsi="Segoe UI" w:cs="Segoe UI"/>
          <w:sz w:val="22"/>
          <w:szCs w:val="22"/>
        </w:rPr>
      </w:pPr>
      <w:r w:rsidRPr="00B676A2">
        <w:rPr>
          <w:rStyle w:val="normaltextrun"/>
          <w:rFonts w:ascii="Calibri" w:hAnsi="Calibri" w:cs="Calibri"/>
          <w:b/>
          <w:bCs/>
          <w:sz w:val="21"/>
          <w:szCs w:val="21"/>
        </w:rPr>
        <w:t>Academic Curriculum Plans (CDP)</w:t>
      </w:r>
      <w:r>
        <w:rPr>
          <w:rFonts w:ascii="Segoe UI" w:hAnsi="Segoe UI" w:cs="Segoe UI"/>
          <w:sz w:val="18"/>
          <w:szCs w:val="18"/>
        </w:rPr>
        <w:t xml:space="preserve">:  </w:t>
      </w:r>
      <w:r w:rsidRPr="00B676A2">
        <w:rPr>
          <w:rStyle w:val="normaltextrun"/>
          <w:rFonts w:ascii="Calibri" w:hAnsi="Calibri" w:cs="Calibri"/>
          <w:sz w:val="22"/>
          <w:szCs w:val="22"/>
        </w:rPr>
        <w:t>Estates have now priced all the works for all campuses requested by academic departments. Most requests involve standard minor upgrades and furniture refreshing, but a few projects have exceeded expectations in scope and cost, requiring further high-level clearance. The net costs for all CDP works requested are approximately £300,000.</w:t>
      </w:r>
    </w:p>
    <w:p w14:paraId="69ED1945" w14:textId="77777777" w:rsidR="00A25216" w:rsidRPr="00A25216" w:rsidRDefault="00B676A2" w:rsidP="00A25216">
      <w:pPr>
        <w:pStyle w:val="paragraph"/>
        <w:numPr>
          <w:ilvl w:val="0"/>
          <w:numId w:val="19"/>
        </w:numPr>
        <w:spacing w:before="0" w:beforeAutospacing="0"/>
        <w:jc w:val="both"/>
        <w:textAlignment w:val="baseline"/>
        <w:rPr>
          <w:rFonts w:ascii="Segoe UI" w:hAnsi="Segoe UI" w:cs="Segoe UI"/>
          <w:sz w:val="18"/>
          <w:szCs w:val="18"/>
        </w:rPr>
      </w:pPr>
      <w:r w:rsidRPr="00B676A2">
        <w:rPr>
          <w:rStyle w:val="normaltextrun"/>
          <w:rFonts w:ascii="Calibri" w:hAnsi="Calibri" w:cs="Calibri"/>
          <w:b/>
          <w:color w:val="000000"/>
          <w:sz w:val="22"/>
          <w:szCs w:val="22"/>
          <w:shd w:val="clear" w:color="auto" w:fill="FFFFFF"/>
        </w:rPr>
        <w:lastRenderedPageBreak/>
        <w:t>Storm Éowyn in January</w:t>
      </w:r>
      <w:r>
        <w:rPr>
          <w:rStyle w:val="normaltextrun"/>
          <w:rFonts w:ascii="Calibri" w:hAnsi="Calibri" w:cs="Calibri"/>
          <w:color w:val="000000"/>
          <w:sz w:val="21"/>
          <w:szCs w:val="21"/>
          <w:shd w:val="clear" w:color="auto" w:fill="FFFFFF"/>
        </w:rPr>
        <w:t xml:space="preserve"> </w:t>
      </w:r>
      <w:r w:rsidRPr="00B676A2">
        <w:rPr>
          <w:rStyle w:val="normaltextrun"/>
          <w:rFonts w:ascii="Calibri" w:hAnsi="Calibri" w:cs="Calibri"/>
          <w:b/>
          <w:color w:val="000000"/>
          <w:sz w:val="21"/>
          <w:szCs w:val="21"/>
          <w:shd w:val="clear" w:color="auto" w:fill="FFFFFF"/>
        </w:rPr>
        <w:t>2025:</w:t>
      </w:r>
      <w:r>
        <w:rPr>
          <w:rStyle w:val="normaltextrun"/>
          <w:rFonts w:ascii="Calibri" w:hAnsi="Calibri" w:cs="Calibri"/>
          <w:color w:val="000000"/>
          <w:sz w:val="21"/>
          <w:szCs w:val="21"/>
          <w:shd w:val="clear" w:color="auto" w:fill="FFFFFF"/>
        </w:rPr>
        <w:t xml:space="preserve">  </w:t>
      </w:r>
      <w:r w:rsidRPr="00B676A2">
        <w:rPr>
          <w:rStyle w:val="normaltextrun"/>
          <w:rFonts w:ascii="Calibri" w:hAnsi="Calibri" w:cs="Calibri"/>
          <w:color w:val="000000"/>
          <w:sz w:val="22"/>
          <w:szCs w:val="22"/>
          <w:shd w:val="clear" w:color="auto" w:fill="FFFFFF"/>
        </w:rPr>
        <w:t>Storm damage was limited by good preparation</w:t>
      </w:r>
      <w:r>
        <w:rPr>
          <w:rStyle w:val="normaltextrun"/>
          <w:rFonts w:ascii="Calibri" w:hAnsi="Calibri" w:cs="Calibri"/>
          <w:color w:val="000000"/>
          <w:sz w:val="22"/>
          <w:szCs w:val="22"/>
          <w:shd w:val="clear" w:color="auto" w:fill="FFFFFF"/>
        </w:rPr>
        <w:t>.  No significant da</w:t>
      </w:r>
      <w:r w:rsidR="00316C84">
        <w:rPr>
          <w:rStyle w:val="normaltextrun"/>
          <w:rFonts w:ascii="Calibri" w:hAnsi="Calibri" w:cs="Calibri"/>
          <w:color w:val="000000"/>
          <w:sz w:val="22"/>
          <w:szCs w:val="22"/>
          <w:shd w:val="clear" w:color="auto" w:fill="FFFFFF"/>
        </w:rPr>
        <w:t>mage was sustained.  Coatbridge Campus suffered minor damage to its roof which was promptly repaired.</w:t>
      </w:r>
      <w:r w:rsidR="00316C84" w:rsidRPr="00316C84">
        <w:rPr>
          <w:rFonts w:ascii="Calibri" w:hAnsi="Calibri" w:cs="Calibri"/>
          <w:b/>
          <w:bCs/>
          <w:sz w:val="21"/>
          <w:szCs w:val="21"/>
          <w:u w:val="single"/>
        </w:rPr>
        <w:t xml:space="preserve"> </w:t>
      </w:r>
    </w:p>
    <w:p w14:paraId="47EF58DD" w14:textId="77777777" w:rsidR="0091770B" w:rsidRPr="00FB391D" w:rsidRDefault="00316C84" w:rsidP="00A25216">
      <w:pPr>
        <w:pStyle w:val="paragraph"/>
        <w:numPr>
          <w:ilvl w:val="0"/>
          <w:numId w:val="19"/>
        </w:numPr>
        <w:spacing w:before="0" w:beforeAutospacing="0"/>
        <w:jc w:val="both"/>
        <w:textAlignment w:val="baseline"/>
        <w:rPr>
          <w:rFonts w:ascii="Segoe UI" w:hAnsi="Segoe UI" w:cs="Segoe UI"/>
          <w:sz w:val="22"/>
          <w:szCs w:val="22"/>
        </w:rPr>
      </w:pPr>
      <w:r w:rsidRPr="00A25216">
        <w:rPr>
          <w:rFonts w:ascii="Calibri" w:hAnsi="Calibri" w:cs="Calibri"/>
          <w:b/>
          <w:bCs/>
          <w:sz w:val="21"/>
          <w:szCs w:val="21"/>
        </w:rPr>
        <w:t>Cumbernauld Campus</w:t>
      </w:r>
      <w:r w:rsidR="00A25216">
        <w:rPr>
          <w:rFonts w:ascii="Calibri" w:hAnsi="Calibri" w:cs="Calibri"/>
          <w:sz w:val="21"/>
          <w:szCs w:val="21"/>
        </w:rPr>
        <w:t xml:space="preserve">: </w:t>
      </w:r>
      <w:r w:rsidR="00A25216" w:rsidRPr="00A25216">
        <w:rPr>
          <w:rFonts w:ascii="Calibri" w:hAnsi="Calibri" w:cs="Calibri"/>
          <w:sz w:val="22"/>
          <w:szCs w:val="22"/>
        </w:rPr>
        <w:t xml:space="preserve">experienced </w:t>
      </w:r>
      <w:r w:rsidRPr="00A25216">
        <w:rPr>
          <w:rFonts w:ascii="Calibri" w:hAnsi="Calibri" w:cs="Calibri"/>
          <w:sz w:val="22"/>
          <w:szCs w:val="22"/>
        </w:rPr>
        <w:t xml:space="preserve">two closures during the period. The first was due to a hot and cold-water pressure issue caused by a faulty pump, which was replaced the following day. The second closure was due to a gas leak in a redundant gas meter. This issue was resolved within 24 hours and </w:t>
      </w:r>
      <w:r w:rsidR="006A385F">
        <w:rPr>
          <w:rFonts w:ascii="Calibri" w:hAnsi="Calibri" w:cs="Calibri"/>
          <w:sz w:val="22"/>
          <w:szCs w:val="22"/>
        </w:rPr>
        <w:t>NCL is</w:t>
      </w:r>
      <w:r w:rsidRPr="00A25216">
        <w:rPr>
          <w:rFonts w:ascii="Calibri" w:hAnsi="Calibri" w:cs="Calibri"/>
          <w:sz w:val="22"/>
          <w:szCs w:val="22"/>
        </w:rPr>
        <w:t xml:space="preserve"> working with Scottish Gas Networks to remove the meter. </w:t>
      </w:r>
    </w:p>
    <w:p w14:paraId="4430E63C" w14:textId="77777777" w:rsidR="00FB391D" w:rsidRPr="00A52899" w:rsidRDefault="00FB391D" w:rsidP="00A52899">
      <w:pPr>
        <w:pStyle w:val="paragraph"/>
        <w:numPr>
          <w:ilvl w:val="0"/>
          <w:numId w:val="19"/>
        </w:numPr>
        <w:spacing w:before="0" w:after="0"/>
        <w:jc w:val="both"/>
        <w:textAlignment w:val="baseline"/>
        <w:rPr>
          <w:rStyle w:val="eop"/>
          <w:rFonts w:ascii="Segoe UI" w:hAnsi="Segoe UI" w:cs="Segoe UI"/>
          <w:sz w:val="22"/>
          <w:szCs w:val="22"/>
        </w:rPr>
      </w:pPr>
      <w:r w:rsidRPr="00FB391D">
        <w:rPr>
          <w:rStyle w:val="normaltextrun"/>
          <w:rFonts w:ascii="Calibri" w:hAnsi="Calibri" w:cs="Calibri"/>
          <w:b/>
          <w:bCs/>
          <w:sz w:val="21"/>
          <w:szCs w:val="21"/>
        </w:rPr>
        <w:t>Baseline 2024</w:t>
      </w:r>
      <w:r>
        <w:rPr>
          <w:rStyle w:val="normaltextrun"/>
          <w:rFonts w:ascii="Calibri" w:hAnsi="Calibri" w:cs="Calibri"/>
          <w:b/>
          <w:bCs/>
          <w:sz w:val="21"/>
          <w:szCs w:val="21"/>
        </w:rPr>
        <w:t>:</w:t>
      </w:r>
      <w:r>
        <w:rPr>
          <w:rFonts w:ascii="Segoe UI" w:hAnsi="Segoe UI" w:cs="Segoe UI"/>
          <w:sz w:val="18"/>
          <w:szCs w:val="18"/>
        </w:rPr>
        <w:t xml:space="preserve">  </w:t>
      </w:r>
      <w:r w:rsidRPr="00FB391D">
        <w:rPr>
          <w:rStyle w:val="normaltextrun"/>
          <w:rFonts w:ascii="Calibri" w:hAnsi="Calibri" w:cs="Calibri"/>
          <w:sz w:val="22"/>
          <w:szCs w:val="22"/>
        </w:rPr>
        <w:t xml:space="preserve">Estates completed the Scottish Funding Council and Atkins Realis Baseline 2024 survey, which required comprehensive data on </w:t>
      </w:r>
      <w:r>
        <w:rPr>
          <w:rStyle w:val="normaltextrun"/>
          <w:rFonts w:ascii="Calibri" w:hAnsi="Calibri" w:cs="Calibri"/>
          <w:sz w:val="22"/>
          <w:szCs w:val="22"/>
        </w:rPr>
        <w:t xml:space="preserve">the </w:t>
      </w:r>
      <w:r w:rsidRPr="00FB391D">
        <w:rPr>
          <w:rStyle w:val="normaltextrun"/>
          <w:rFonts w:ascii="Calibri" w:hAnsi="Calibri" w:cs="Calibri"/>
          <w:sz w:val="22"/>
          <w:szCs w:val="22"/>
        </w:rPr>
        <w:t xml:space="preserve">estate. </w:t>
      </w:r>
      <w:r>
        <w:rPr>
          <w:rStyle w:val="normaltextrun"/>
          <w:rFonts w:ascii="Calibri" w:hAnsi="Calibri" w:cs="Calibri"/>
          <w:sz w:val="22"/>
          <w:szCs w:val="22"/>
        </w:rPr>
        <w:t xml:space="preserve">NCL </w:t>
      </w:r>
      <w:r w:rsidRPr="00FB391D">
        <w:rPr>
          <w:rStyle w:val="normaltextrun"/>
          <w:rFonts w:ascii="Calibri" w:hAnsi="Calibri" w:cs="Calibri"/>
          <w:sz w:val="22"/>
          <w:szCs w:val="22"/>
        </w:rPr>
        <w:t>was among the top four for responses, providing 96% of all requested data.</w:t>
      </w:r>
      <w:r w:rsidR="00991A62">
        <w:rPr>
          <w:rStyle w:val="eop"/>
          <w:rFonts w:ascii="Calibri" w:hAnsi="Calibri" w:cs="Calibri"/>
          <w:sz w:val="22"/>
          <w:szCs w:val="22"/>
        </w:rPr>
        <w:t xml:space="preserve">  </w:t>
      </w:r>
      <w:r w:rsidR="00991A62" w:rsidRPr="004C0ED4">
        <w:rPr>
          <w:rStyle w:val="eop"/>
          <w:rFonts w:ascii="Calibri" w:hAnsi="Calibri" w:cs="Calibri"/>
          <w:sz w:val="22"/>
          <w:szCs w:val="22"/>
        </w:rPr>
        <w:t>KF asked if it would be possible for the Committee to see at least a summary of the data provided by the College.  RG advised that, because of the way the survey had been conducted, it had not been possible to retain the data input.  He added however, that institutions had been told that a copy of the details input would be made available to them.  This was still to be received, however.</w:t>
      </w:r>
    </w:p>
    <w:p w14:paraId="22FD5E5F" w14:textId="77777777" w:rsidR="00991A62" w:rsidRPr="00A25216" w:rsidRDefault="0091770B" w:rsidP="00991A62">
      <w:pPr>
        <w:pStyle w:val="paragraph"/>
        <w:spacing w:before="0" w:beforeAutospacing="0" w:after="0" w:afterAutospacing="0"/>
        <w:ind w:left="720"/>
        <w:jc w:val="both"/>
        <w:textAlignment w:val="baseline"/>
        <w:rPr>
          <w:rStyle w:val="normaltextrun"/>
          <w:rFonts w:ascii="Calibri" w:hAnsi="Calibri" w:cs="Calibri"/>
          <w:color w:val="000000"/>
          <w:sz w:val="22"/>
          <w:szCs w:val="22"/>
          <w:shd w:val="clear" w:color="auto" w:fill="FFFFFF"/>
        </w:rPr>
      </w:pPr>
      <w:r w:rsidRPr="00FB3772">
        <w:rPr>
          <w:rStyle w:val="normaltextrun"/>
          <w:rFonts w:asciiTheme="minorHAnsi" w:hAnsiTheme="minorHAnsi" w:cstheme="minorHAnsi"/>
          <w:sz w:val="22"/>
          <w:szCs w:val="22"/>
        </w:rPr>
        <w:t xml:space="preserve">KF asked </w:t>
      </w:r>
      <w:r w:rsidR="00A25216">
        <w:rPr>
          <w:rStyle w:val="normaltextrun"/>
          <w:rFonts w:asciiTheme="minorHAnsi" w:hAnsiTheme="minorHAnsi" w:cstheme="minorHAnsi"/>
          <w:sz w:val="22"/>
          <w:szCs w:val="22"/>
        </w:rPr>
        <w:t>clarification of the slight increase in the college’s carbon footprint</w:t>
      </w:r>
      <w:r w:rsidR="00A25216" w:rsidRPr="00A25216">
        <w:rPr>
          <w:rStyle w:val="normaltextrun"/>
          <w:rFonts w:asciiTheme="minorHAnsi" w:hAnsiTheme="minorHAnsi" w:cstheme="minorHAnsi"/>
          <w:sz w:val="22"/>
          <w:szCs w:val="22"/>
        </w:rPr>
        <w:t xml:space="preserve">.  RG advised that this was </w:t>
      </w:r>
      <w:r w:rsidR="00A25216" w:rsidRPr="00A25216">
        <w:rPr>
          <w:rStyle w:val="normaltextrun"/>
          <w:rFonts w:ascii="Calibri" w:hAnsi="Calibri" w:cs="Calibri"/>
          <w:color w:val="000000"/>
          <w:sz w:val="22"/>
          <w:szCs w:val="22"/>
          <w:shd w:val="clear" w:color="auto" w:fill="FFFFFF"/>
        </w:rPr>
        <w:t>primarily due to new reporting aspects like fuel and business miles emissions</w:t>
      </w:r>
      <w:r w:rsidR="00A25216">
        <w:rPr>
          <w:rStyle w:val="normaltextrun"/>
          <w:rFonts w:ascii="Calibri" w:hAnsi="Calibri" w:cs="Calibri"/>
          <w:color w:val="000000"/>
          <w:sz w:val="22"/>
          <w:szCs w:val="22"/>
          <w:shd w:val="clear" w:color="auto" w:fill="FFFFFF"/>
        </w:rPr>
        <w:t>.  Unlike colleges which operate on a single site, staff at NCL move between campuses which accounts for the additional carbon emissions.  H</w:t>
      </w:r>
      <w:r w:rsidR="00A25216" w:rsidRPr="00A25216">
        <w:rPr>
          <w:rStyle w:val="normaltextrun"/>
          <w:rFonts w:ascii="Calibri" w:hAnsi="Calibri" w:cs="Calibri"/>
          <w:color w:val="000000"/>
          <w:sz w:val="22"/>
          <w:szCs w:val="22"/>
          <w:shd w:val="clear" w:color="auto" w:fill="FFFFFF"/>
        </w:rPr>
        <w:t xml:space="preserve">owever, the college remains optimistic that efforts to reduce energy and waste through centralised recycling centres will positively impact next year's results. </w:t>
      </w:r>
    </w:p>
    <w:p w14:paraId="6D1A1C6E" w14:textId="77777777" w:rsidR="00A52899" w:rsidRPr="00FB3772" w:rsidRDefault="00A52899" w:rsidP="0091770B">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1DC19176" w14:textId="77777777" w:rsidR="0091770B" w:rsidRPr="00FB3772" w:rsidRDefault="0091770B" w:rsidP="0091770B">
      <w:pPr>
        <w:pStyle w:val="paragraph"/>
        <w:spacing w:before="0" w:beforeAutospacing="0" w:after="0" w:afterAutospacing="0"/>
        <w:jc w:val="both"/>
        <w:textAlignment w:val="baseline"/>
        <w:rPr>
          <w:rFonts w:asciiTheme="minorHAnsi" w:hAnsiTheme="minorHAnsi" w:cstheme="minorHAnsi"/>
          <w:b/>
          <w:sz w:val="22"/>
          <w:szCs w:val="22"/>
        </w:rPr>
      </w:pPr>
      <w:r w:rsidRPr="00FB3772">
        <w:rPr>
          <w:rFonts w:asciiTheme="minorHAnsi" w:hAnsiTheme="minorHAnsi" w:cstheme="minorHAnsi"/>
          <w:b/>
          <w:sz w:val="22"/>
          <w:szCs w:val="22"/>
        </w:rPr>
        <w:t>9.1</w:t>
      </w:r>
      <w:r w:rsidRPr="00FB3772">
        <w:rPr>
          <w:rFonts w:asciiTheme="minorHAnsi" w:hAnsiTheme="minorHAnsi" w:cstheme="minorHAnsi"/>
          <w:b/>
          <w:sz w:val="22"/>
          <w:szCs w:val="22"/>
        </w:rPr>
        <w:tab/>
        <w:t>ICT Update</w:t>
      </w:r>
    </w:p>
    <w:p w14:paraId="25F62C1E" w14:textId="77777777" w:rsidR="0091770B" w:rsidRPr="00FB3772" w:rsidRDefault="0091770B" w:rsidP="0091770B">
      <w:pPr>
        <w:pStyle w:val="paragraph"/>
        <w:spacing w:before="0" w:beforeAutospacing="0" w:after="0" w:afterAutospacing="0"/>
        <w:jc w:val="both"/>
        <w:textAlignment w:val="baseline"/>
        <w:rPr>
          <w:rFonts w:asciiTheme="minorHAnsi" w:hAnsiTheme="minorHAnsi" w:cstheme="minorHAnsi"/>
          <w:b/>
          <w:sz w:val="22"/>
          <w:szCs w:val="22"/>
        </w:rPr>
      </w:pPr>
      <w:r w:rsidRPr="00FB3772">
        <w:rPr>
          <w:rFonts w:asciiTheme="minorHAnsi" w:hAnsiTheme="minorHAnsi" w:cstheme="minorHAnsi"/>
          <w:b/>
          <w:sz w:val="22"/>
          <w:szCs w:val="22"/>
        </w:rPr>
        <w:tab/>
      </w:r>
      <w:r w:rsidRPr="00FB3772">
        <w:rPr>
          <w:rFonts w:asciiTheme="minorHAnsi" w:hAnsiTheme="minorHAnsi" w:cstheme="minorHAnsi"/>
          <w:sz w:val="22"/>
          <w:szCs w:val="22"/>
        </w:rPr>
        <w:t>RG spoke to John Morrison’s paper and noted the following points</w:t>
      </w:r>
      <w:r w:rsidRPr="00FB3772">
        <w:rPr>
          <w:rFonts w:asciiTheme="minorHAnsi" w:hAnsiTheme="minorHAnsi" w:cstheme="minorHAnsi"/>
          <w:b/>
          <w:sz w:val="22"/>
          <w:szCs w:val="22"/>
        </w:rPr>
        <w:t>:</w:t>
      </w:r>
    </w:p>
    <w:p w14:paraId="700742FA" w14:textId="77777777" w:rsidR="00F66699" w:rsidRPr="00B31630" w:rsidRDefault="00F66699" w:rsidP="00B31630">
      <w:pPr>
        <w:pStyle w:val="paragraph"/>
        <w:numPr>
          <w:ilvl w:val="0"/>
          <w:numId w:val="5"/>
        </w:numPr>
        <w:spacing w:before="0" w:beforeAutospacing="0" w:after="0" w:afterAutospacing="0"/>
        <w:jc w:val="both"/>
        <w:textAlignment w:val="baseline"/>
        <w:rPr>
          <w:rStyle w:val="normaltextrun"/>
          <w:rFonts w:asciiTheme="minorHAnsi" w:hAnsiTheme="minorHAnsi" w:cstheme="minorHAnsi"/>
          <w:sz w:val="22"/>
          <w:szCs w:val="22"/>
        </w:rPr>
      </w:pPr>
      <w:r w:rsidRPr="00B31630">
        <w:rPr>
          <w:rStyle w:val="normaltextrun"/>
          <w:rFonts w:ascii="Calibri" w:hAnsi="Calibri" w:cs="Calibri"/>
          <w:b/>
          <w:color w:val="000000"/>
          <w:sz w:val="22"/>
          <w:szCs w:val="22"/>
          <w:shd w:val="clear" w:color="auto" w:fill="FFFFFF"/>
        </w:rPr>
        <w:t xml:space="preserve">Digital Inclusion Funding: </w:t>
      </w:r>
      <w:r w:rsidRPr="00B31630">
        <w:rPr>
          <w:rStyle w:val="normaltextrun"/>
          <w:rFonts w:ascii="Calibri" w:hAnsi="Calibri" w:cs="Calibri"/>
          <w:color w:val="000000"/>
          <w:sz w:val="22"/>
          <w:szCs w:val="22"/>
          <w:shd w:val="clear" w:color="auto" w:fill="FFFFFF"/>
        </w:rPr>
        <w:t xml:space="preserve"> Between August 2022 and July 2024 NCL used a total of £217,544 from this source of funding to provide Lapsafe lockers in the 3 main campuses and to purchase 234 laptops for use with the lockers.  </w:t>
      </w:r>
      <w:r w:rsidR="00B31630" w:rsidRPr="00B31630">
        <w:rPr>
          <w:rStyle w:val="normaltextrun"/>
          <w:rFonts w:ascii="Calibri" w:hAnsi="Calibri" w:cs="Calibri"/>
          <w:color w:val="000000"/>
          <w:sz w:val="22"/>
          <w:szCs w:val="22"/>
          <w:shd w:val="clear" w:color="auto" w:fill="FFFFFF"/>
        </w:rPr>
        <w:t>The project has been embraced by the students who are taking full advantage of the resources.  Unfortunately</w:t>
      </w:r>
      <w:r w:rsidR="00B31630">
        <w:rPr>
          <w:rStyle w:val="normaltextrun"/>
          <w:rFonts w:ascii="Calibri" w:hAnsi="Calibri" w:cs="Calibri"/>
          <w:color w:val="000000"/>
          <w:sz w:val="22"/>
          <w:szCs w:val="22"/>
          <w:shd w:val="clear" w:color="auto" w:fill="FFFFFF"/>
        </w:rPr>
        <w:t xml:space="preserve">, </w:t>
      </w:r>
      <w:r w:rsidR="00B31630" w:rsidRPr="00B31630">
        <w:rPr>
          <w:rStyle w:val="normaltextrun"/>
          <w:rFonts w:ascii="Calibri" w:hAnsi="Calibri" w:cs="Calibri"/>
          <w:color w:val="000000"/>
          <w:sz w:val="22"/>
          <w:szCs w:val="22"/>
          <w:shd w:val="clear" w:color="auto" w:fill="FFFFFF"/>
        </w:rPr>
        <w:t>this funding is no longer available.</w:t>
      </w:r>
    </w:p>
    <w:p w14:paraId="61A166FB" w14:textId="77777777" w:rsidR="009E4F4D" w:rsidRDefault="0044051A" w:rsidP="00EE1288">
      <w:pPr>
        <w:pStyle w:val="paragraph"/>
        <w:numPr>
          <w:ilvl w:val="0"/>
          <w:numId w:val="5"/>
        </w:numPr>
        <w:spacing w:before="0" w:beforeAutospacing="0" w:after="0" w:afterAutospacing="0"/>
        <w:jc w:val="both"/>
        <w:textAlignment w:val="baseline"/>
        <w:rPr>
          <w:rStyle w:val="normaltextrun"/>
          <w:rFonts w:asciiTheme="minorHAnsi" w:hAnsiTheme="minorHAnsi" w:cstheme="minorHAnsi"/>
          <w:sz w:val="22"/>
          <w:szCs w:val="22"/>
        </w:rPr>
      </w:pPr>
      <w:r w:rsidRPr="009E4F4D">
        <w:rPr>
          <w:rStyle w:val="normaltextrun"/>
          <w:rFonts w:asciiTheme="minorHAnsi" w:hAnsiTheme="minorHAnsi" w:cstheme="minorHAnsi"/>
          <w:b/>
          <w:sz w:val="22"/>
          <w:szCs w:val="22"/>
        </w:rPr>
        <w:t>VOIP telephony:</w:t>
      </w:r>
      <w:r>
        <w:rPr>
          <w:rStyle w:val="normaltextrun"/>
          <w:rFonts w:asciiTheme="minorHAnsi" w:hAnsiTheme="minorHAnsi" w:cstheme="minorHAnsi"/>
          <w:sz w:val="22"/>
          <w:szCs w:val="22"/>
        </w:rPr>
        <w:t xml:space="preserve">  the potential cyber security issues have been resolved and the college is anticipating the system going live in March/April.  </w:t>
      </w:r>
    </w:p>
    <w:p w14:paraId="07F89643" w14:textId="77777777" w:rsidR="009E4F4D" w:rsidRPr="00A552BF" w:rsidRDefault="009E4F4D" w:rsidP="00A552BF">
      <w:pPr>
        <w:pStyle w:val="ListParagraph"/>
        <w:numPr>
          <w:ilvl w:val="0"/>
          <w:numId w:val="5"/>
        </w:numPr>
        <w:spacing w:after="0" w:line="240" w:lineRule="auto"/>
        <w:jc w:val="both"/>
        <w:textAlignment w:val="baseline"/>
        <w:rPr>
          <w:rFonts w:ascii="Segoe UI" w:eastAsia="Times New Roman" w:hAnsi="Segoe UI" w:cs="Segoe UI"/>
          <w:lang w:eastAsia="en-GB"/>
        </w:rPr>
      </w:pPr>
      <w:r w:rsidRPr="009E4F4D">
        <w:rPr>
          <w:rFonts w:ascii="Calibri" w:eastAsia="Times New Roman" w:hAnsi="Calibri" w:cs="Calibri"/>
          <w:b/>
          <w:bCs/>
          <w:color w:val="000000"/>
          <w:lang w:eastAsia="en-GB"/>
        </w:rPr>
        <w:t>Barrier Networks Cyber Risks Technical Assessment (CRTA)</w:t>
      </w:r>
      <w:r w:rsidRPr="009E4F4D">
        <w:rPr>
          <w:rFonts w:ascii="Calibri" w:eastAsia="Times New Roman" w:hAnsi="Calibri" w:cs="Calibri"/>
          <w:color w:val="000000"/>
          <w:lang w:eastAsia="en-GB"/>
        </w:rPr>
        <w:t>:  In November 2024 Barrier Networks conducted an independent Cyber Risks Technical Assessment (CRTA) of the College’s cyber security systems and processes. A copy of the report has been provided for information.  The IT team will now work with Barrier to create an action plan to implement the recommendations as quickly as budget and resource allows. </w:t>
      </w:r>
    </w:p>
    <w:p w14:paraId="66A92B1B" w14:textId="77777777" w:rsidR="00A552BF" w:rsidRDefault="00A552BF" w:rsidP="00A552BF">
      <w:pPr>
        <w:spacing w:after="0" w:line="240" w:lineRule="auto"/>
        <w:ind w:left="720"/>
        <w:jc w:val="both"/>
        <w:textAlignment w:val="baseline"/>
        <w:rPr>
          <w:rStyle w:val="normaltextrun"/>
          <w:rFonts w:ascii="Segoe UI" w:eastAsia="Times New Roman" w:hAnsi="Segoe UI" w:cs="Segoe UI"/>
          <w:lang w:eastAsia="en-GB"/>
        </w:rPr>
      </w:pPr>
    </w:p>
    <w:p w14:paraId="02E78F71" w14:textId="77777777" w:rsidR="00A552BF" w:rsidRDefault="00A552BF" w:rsidP="00A552BF">
      <w:pPr>
        <w:spacing w:after="0" w:line="240" w:lineRule="auto"/>
        <w:ind w:left="720"/>
        <w:jc w:val="both"/>
        <w:textAlignment w:val="baseline"/>
        <w:rPr>
          <w:rStyle w:val="normaltextrun"/>
          <w:rFonts w:eastAsia="Times New Roman" w:cstheme="minorHAnsi"/>
          <w:lang w:eastAsia="en-GB"/>
        </w:rPr>
      </w:pPr>
      <w:r w:rsidRPr="00A552BF">
        <w:rPr>
          <w:rStyle w:val="normaltextrun"/>
          <w:rFonts w:eastAsia="Times New Roman" w:cstheme="minorHAnsi"/>
          <w:lang w:eastAsia="en-GB"/>
        </w:rPr>
        <w:t xml:space="preserve">KF commented on the work of Barrier Networks and </w:t>
      </w:r>
      <w:r>
        <w:rPr>
          <w:rStyle w:val="normaltextrun"/>
          <w:rFonts w:eastAsia="Times New Roman" w:cstheme="minorHAnsi"/>
          <w:lang w:eastAsia="en-GB"/>
        </w:rPr>
        <w:t xml:space="preserve">suggested that this would be an effective cross-sector project.  RG said that a </w:t>
      </w:r>
      <w:r w:rsidR="0011504A">
        <w:rPr>
          <w:rStyle w:val="normaltextrun"/>
          <w:rFonts w:eastAsia="Times New Roman" w:cstheme="minorHAnsi"/>
          <w:lang w:eastAsia="en-GB"/>
        </w:rPr>
        <w:t xml:space="preserve">professional </w:t>
      </w:r>
      <w:r>
        <w:rPr>
          <w:rStyle w:val="normaltextrun"/>
          <w:rFonts w:eastAsia="Times New Roman" w:cstheme="minorHAnsi"/>
          <w:lang w:eastAsia="en-GB"/>
        </w:rPr>
        <w:t xml:space="preserve">review of ICT is imminent </w:t>
      </w:r>
      <w:r w:rsidR="0011504A">
        <w:rPr>
          <w:rStyle w:val="normaltextrun"/>
          <w:rFonts w:eastAsia="Times New Roman" w:cstheme="minorHAnsi"/>
          <w:lang w:eastAsia="en-GB"/>
        </w:rPr>
        <w:t xml:space="preserve">which will provide helpful external benchmarking as well as highlighting the importance of cyber protection and providing </w:t>
      </w:r>
      <w:r w:rsidR="00EE1288">
        <w:rPr>
          <w:rStyle w:val="normaltextrun"/>
          <w:rFonts w:eastAsia="Times New Roman" w:cstheme="minorHAnsi"/>
          <w:lang w:eastAsia="en-GB"/>
        </w:rPr>
        <w:t xml:space="preserve">useful </w:t>
      </w:r>
      <w:r w:rsidR="0011504A">
        <w:rPr>
          <w:rStyle w:val="normaltextrun"/>
          <w:rFonts w:eastAsia="Times New Roman" w:cstheme="minorHAnsi"/>
          <w:lang w:eastAsia="en-GB"/>
        </w:rPr>
        <w:t>pointers.</w:t>
      </w:r>
    </w:p>
    <w:p w14:paraId="0876935B" w14:textId="77777777" w:rsidR="0011504A" w:rsidRDefault="0011504A" w:rsidP="00A552BF">
      <w:pPr>
        <w:spacing w:after="0" w:line="240" w:lineRule="auto"/>
        <w:ind w:left="720"/>
        <w:jc w:val="both"/>
        <w:textAlignment w:val="baseline"/>
        <w:rPr>
          <w:rStyle w:val="normaltextrun"/>
          <w:rFonts w:eastAsia="Times New Roman" w:cstheme="minorHAnsi"/>
          <w:lang w:eastAsia="en-GB"/>
        </w:rPr>
      </w:pPr>
    </w:p>
    <w:p w14:paraId="47FFD178" w14:textId="77777777" w:rsidR="0011504A" w:rsidRPr="0011504A" w:rsidRDefault="0011504A" w:rsidP="00A552BF">
      <w:pPr>
        <w:spacing w:after="0" w:line="240" w:lineRule="auto"/>
        <w:ind w:left="720"/>
        <w:jc w:val="both"/>
        <w:textAlignment w:val="baseline"/>
        <w:rPr>
          <w:rStyle w:val="normaltextrun"/>
          <w:rFonts w:eastAsia="Times New Roman" w:cstheme="minorHAnsi"/>
          <w:lang w:eastAsia="en-GB"/>
        </w:rPr>
      </w:pPr>
      <w:r w:rsidRPr="0011504A">
        <w:rPr>
          <w:rStyle w:val="normaltextrun"/>
          <w:rFonts w:eastAsia="Times New Roman" w:cstheme="minorHAnsi"/>
          <w:b/>
          <w:lang w:eastAsia="en-GB"/>
        </w:rPr>
        <w:t xml:space="preserve">Windows 10 </w:t>
      </w:r>
      <w:r w:rsidR="0091568B">
        <w:rPr>
          <w:rStyle w:val="normaltextrun"/>
          <w:rFonts w:eastAsia="Times New Roman" w:cstheme="minorHAnsi"/>
          <w:b/>
          <w:lang w:eastAsia="en-GB"/>
        </w:rPr>
        <w:t>extended support</w:t>
      </w:r>
      <w:r w:rsidRPr="0011504A">
        <w:rPr>
          <w:rStyle w:val="normaltextrun"/>
          <w:rFonts w:eastAsia="Times New Roman" w:cstheme="minorHAnsi"/>
          <w:b/>
          <w:lang w:eastAsia="en-GB"/>
        </w:rPr>
        <w:t xml:space="preserve"> issue:</w:t>
      </w:r>
      <w:r>
        <w:rPr>
          <w:rStyle w:val="normaltextrun"/>
          <w:rFonts w:eastAsia="Times New Roman" w:cstheme="minorHAnsi"/>
          <w:b/>
          <w:lang w:eastAsia="en-GB"/>
        </w:rPr>
        <w:t xml:space="preserve">  </w:t>
      </w:r>
      <w:r w:rsidRPr="0011504A">
        <w:rPr>
          <w:rStyle w:val="normaltextrun"/>
          <w:rFonts w:eastAsia="Times New Roman" w:cstheme="minorHAnsi"/>
          <w:lang w:eastAsia="en-GB"/>
        </w:rPr>
        <w:t>KF asked if there was any further information on the situation with Microsoft on extending the life of Windows 10.</w:t>
      </w:r>
      <w:r>
        <w:rPr>
          <w:rStyle w:val="normaltextrun"/>
          <w:rFonts w:eastAsia="Times New Roman" w:cstheme="minorHAnsi"/>
          <w:b/>
          <w:lang w:eastAsia="en-GB"/>
        </w:rPr>
        <w:t xml:space="preserve">  </w:t>
      </w:r>
      <w:r w:rsidRPr="0011504A">
        <w:rPr>
          <w:rStyle w:val="normaltextrun"/>
          <w:rFonts w:eastAsia="Times New Roman" w:cstheme="minorHAnsi"/>
          <w:lang w:eastAsia="en-GB"/>
        </w:rPr>
        <w:t xml:space="preserve">RG said that Microsoft has agreed to extend its support at a cheaper cost: $1.00 per machine for one year in the first instance as opposed to the original cost of </w:t>
      </w:r>
      <w:r w:rsidR="0091568B">
        <w:rPr>
          <w:rStyle w:val="normaltextrun"/>
          <w:rFonts w:eastAsia="Times New Roman" w:cstheme="minorHAnsi"/>
          <w:lang w:eastAsia="en-GB"/>
        </w:rPr>
        <w:t>c</w:t>
      </w:r>
      <w:r w:rsidRPr="0011504A">
        <w:rPr>
          <w:rStyle w:val="normaltextrun"/>
          <w:rFonts w:eastAsia="Times New Roman" w:cstheme="minorHAnsi"/>
          <w:lang w:eastAsia="en-GB"/>
        </w:rPr>
        <w:t>$</w:t>
      </w:r>
      <w:r w:rsidR="0091568B">
        <w:rPr>
          <w:rStyle w:val="normaltextrun"/>
          <w:rFonts w:eastAsia="Times New Roman" w:cstheme="minorHAnsi"/>
          <w:lang w:eastAsia="en-GB"/>
        </w:rPr>
        <w:t>5</w:t>
      </w:r>
      <w:r w:rsidRPr="0011504A">
        <w:rPr>
          <w:rStyle w:val="normaltextrun"/>
          <w:rFonts w:eastAsia="Times New Roman" w:cstheme="minorHAnsi"/>
          <w:lang w:eastAsia="en-GB"/>
        </w:rPr>
        <w:t>0 per machine for a shorter timeframe.  RG said that NCL will continue to replace laptops as funding becomes available.</w:t>
      </w:r>
    </w:p>
    <w:p w14:paraId="3C13B709" w14:textId="77777777" w:rsidR="00A552BF" w:rsidRPr="00A552BF" w:rsidRDefault="00A552BF" w:rsidP="00A552BF">
      <w:pPr>
        <w:spacing w:after="0" w:line="240" w:lineRule="auto"/>
        <w:ind w:left="720"/>
        <w:jc w:val="both"/>
        <w:textAlignment w:val="baseline"/>
        <w:rPr>
          <w:rStyle w:val="normaltextrun"/>
          <w:rFonts w:eastAsia="Times New Roman" w:cstheme="minorHAnsi"/>
          <w:lang w:eastAsia="en-GB"/>
        </w:rPr>
      </w:pPr>
    </w:p>
    <w:p w14:paraId="5B61A5A4" w14:textId="77777777" w:rsidR="0091770B" w:rsidRPr="00FB3772" w:rsidRDefault="0091770B" w:rsidP="0091770B">
      <w:pPr>
        <w:spacing w:after="0" w:line="240" w:lineRule="auto"/>
        <w:jc w:val="both"/>
        <w:rPr>
          <w:rFonts w:cstheme="minorHAnsi"/>
          <w:b/>
        </w:rPr>
      </w:pPr>
      <w:r w:rsidRPr="00FB3772">
        <w:rPr>
          <w:rFonts w:cstheme="minorHAnsi"/>
          <w:b/>
        </w:rPr>
        <w:t>9.2</w:t>
      </w:r>
      <w:r w:rsidRPr="00FB3772">
        <w:rPr>
          <w:rFonts w:cstheme="minorHAnsi"/>
          <w:b/>
        </w:rPr>
        <w:tab/>
        <w:t>Information systems and development</w:t>
      </w:r>
    </w:p>
    <w:p w14:paraId="4C1C6875" w14:textId="77777777" w:rsidR="0091770B" w:rsidRPr="00FB3772" w:rsidRDefault="0091770B" w:rsidP="0091770B">
      <w:pPr>
        <w:pStyle w:val="paragraph"/>
        <w:spacing w:before="0" w:beforeAutospacing="0" w:after="0" w:afterAutospacing="0"/>
        <w:ind w:left="720"/>
        <w:jc w:val="both"/>
        <w:textAlignment w:val="baseline"/>
        <w:rPr>
          <w:rStyle w:val="normaltextrun"/>
          <w:rFonts w:asciiTheme="minorHAnsi" w:hAnsiTheme="minorHAnsi" w:cstheme="minorHAnsi"/>
          <w:sz w:val="22"/>
          <w:szCs w:val="22"/>
        </w:rPr>
      </w:pPr>
      <w:r w:rsidRPr="00FB3772">
        <w:rPr>
          <w:rStyle w:val="normaltextrun"/>
          <w:rFonts w:asciiTheme="minorHAnsi" w:hAnsiTheme="minorHAnsi" w:cstheme="minorHAnsi"/>
          <w:sz w:val="22"/>
          <w:szCs w:val="22"/>
        </w:rPr>
        <w:t>RG spoke to Allan Forsyth’s paper.</w:t>
      </w:r>
    </w:p>
    <w:p w14:paraId="78E02F36" w14:textId="77777777" w:rsidR="00E879E2" w:rsidRPr="00E879E2" w:rsidRDefault="009E4F4D" w:rsidP="00E879E2">
      <w:pPr>
        <w:pStyle w:val="paragraph"/>
        <w:numPr>
          <w:ilvl w:val="0"/>
          <w:numId w:val="20"/>
        </w:numPr>
        <w:spacing w:before="0" w:beforeAutospacing="0" w:after="0" w:afterAutospacing="0"/>
        <w:jc w:val="both"/>
        <w:textAlignment w:val="baseline"/>
        <w:rPr>
          <w:rStyle w:val="scxw193497799"/>
          <w:rFonts w:asciiTheme="minorHAnsi" w:hAnsiTheme="minorHAnsi" w:cstheme="minorHAnsi"/>
          <w:sz w:val="22"/>
          <w:szCs w:val="22"/>
        </w:rPr>
      </w:pPr>
      <w:bookmarkStart w:id="2" w:name="_Hlk183438833"/>
      <w:r w:rsidRPr="009E4F4D">
        <w:rPr>
          <w:rStyle w:val="normaltextrun"/>
          <w:rFonts w:asciiTheme="minorHAnsi" w:hAnsiTheme="minorHAnsi" w:cstheme="minorHAnsi"/>
          <w:b/>
          <w:sz w:val="22"/>
          <w:szCs w:val="22"/>
        </w:rPr>
        <w:t xml:space="preserve">New student funding system:  </w:t>
      </w:r>
      <w:bookmarkEnd w:id="2"/>
      <w:r w:rsidRPr="00E879E2">
        <w:rPr>
          <w:rStyle w:val="normaltextrun"/>
          <w:rFonts w:asciiTheme="minorHAnsi" w:hAnsiTheme="minorHAnsi" w:cstheme="minorHAnsi"/>
          <w:sz w:val="22"/>
          <w:szCs w:val="22"/>
        </w:rPr>
        <w:t>this is high priority</w:t>
      </w:r>
      <w:r w:rsidR="00E879E2">
        <w:rPr>
          <w:rStyle w:val="normaltextrun"/>
          <w:rFonts w:asciiTheme="minorHAnsi" w:hAnsiTheme="minorHAnsi" w:cstheme="minorHAnsi"/>
          <w:sz w:val="22"/>
          <w:szCs w:val="22"/>
        </w:rPr>
        <w:t>.  A</w:t>
      </w:r>
      <w:r w:rsidRPr="00E879E2">
        <w:rPr>
          <w:rStyle w:val="normaltextrun"/>
          <w:rFonts w:ascii="Calibri" w:hAnsi="Calibri" w:cs="Calibri"/>
          <w:color w:val="000000"/>
          <w:sz w:val="22"/>
          <w:szCs w:val="22"/>
          <w:shd w:val="clear" w:color="auto" w:fill="FFFFFF"/>
        </w:rPr>
        <w:t xml:space="preserve"> suite of reports has been developed for the Student Funding team which enables them </w:t>
      </w:r>
      <w:r w:rsidR="001374D1">
        <w:rPr>
          <w:rStyle w:val="normaltextrun"/>
          <w:rFonts w:ascii="Calibri" w:hAnsi="Calibri" w:cs="Calibri"/>
          <w:color w:val="000000"/>
          <w:sz w:val="22"/>
          <w:szCs w:val="22"/>
          <w:shd w:val="clear" w:color="auto" w:fill="FFFFFF"/>
        </w:rPr>
        <w:t xml:space="preserve">to </w:t>
      </w:r>
      <w:r w:rsidRPr="00E879E2">
        <w:rPr>
          <w:rStyle w:val="normaltextrun"/>
          <w:rFonts w:ascii="Calibri" w:hAnsi="Calibri" w:cs="Calibri"/>
          <w:color w:val="000000"/>
          <w:sz w:val="22"/>
          <w:szCs w:val="22"/>
          <w:shd w:val="clear" w:color="auto" w:fill="FFFFFF"/>
        </w:rPr>
        <w:t>track</w:t>
      </w:r>
      <w:r w:rsidR="001374D1">
        <w:rPr>
          <w:rStyle w:val="normaltextrun"/>
          <w:rFonts w:ascii="Calibri" w:hAnsi="Calibri" w:cs="Calibri"/>
          <w:color w:val="000000"/>
          <w:sz w:val="22"/>
          <w:szCs w:val="22"/>
          <w:shd w:val="clear" w:color="auto" w:fill="FFFFFF"/>
        </w:rPr>
        <w:t xml:space="preserve"> more effectively</w:t>
      </w:r>
      <w:r w:rsidRPr="00E879E2">
        <w:rPr>
          <w:rStyle w:val="normaltextrun"/>
          <w:rFonts w:ascii="Calibri" w:hAnsi="Calibri" w:cs="Calibri"/>
          <w:color w:val="000000"/>
          <w:sz w:val="22"/>
          <w:szCs w:val="22"/>
          <w:shd w:val="clear" w:color="auto" w:fill="FFFFFF"/>
        </w:rPr>
        <w:t xml:space="preserve"> the status of all bursary applications and follow up with students who have not yet been made an award.</w:t>
      </w:r>
      <w:r w:rsidRPr="00E879E2">
        <w:rPr>
          <w:rStyle w:val="scxw193497799"/>
          <w:rFonts w:ascii="Calibri" w:hAnsi="Calibri" w:cs="Calibri"/>
          <w:color w:val="000000"/>
          <w:sz w:val="22"/>
          <w:szCs w:val="22"/>
          <w:shd w:val="clear" w:color="auto" w:fill="FFFFFF"/>
        </w:rPr>
        <w:t> </w:t>
      </w:r>
    </w:p>
    <w:p w14:paraId="4B801B3C" w14:textId="77777777" w:rsidR="0091770B" w:rsidRDefault="00E879E2" w:rsidP="00E879E2">
      <w:pPr>
        <w:pStyle w:val="paragraph"/>
        <w:numPr>
          <w:ilvl w:val="0"/>
          <w:numId w:val="20"/>
        </w:numPr>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b/>
          <w:sz w:val="22"/>
          <w:szCs w:val="22"/>
        </w:rPr>
        <w:t xml:space="preserve">Staffing:  </w:t>
      </w:r>
      <w:r w:rsidRPr="00E879E2">
        <w:rPr>
          <w:rStyle w:val="normaltextrun"/>
          <w:rFonts w:asciiTheme="minorHAnsi" w:hAnsiTheme="minorHAnsi" w:cstheme="minorHAnsi"/>
          <w:sz w:val="22"/>
          <w:szCs w:val="22"/>
        </w:rPr>
        <w:t xml:space="preserve">RG was pleased to advise the RGP that the University of the West of Scotland has awarded NCL’s Graduate Apprentice, Nadia Chinnery, Graduate Apprentice of the Year for the </w:t>
      </w:r>
      <w:r w:rsidRPr="00E879E2">
        <w:rPr>
          <w:rStyle w:val="normaltextrun"/>
          <w:rFonts w:asciiTheme="minorHAnsi" w:hAnsiTheme="minorHAnsi" w:cstheme="minorHAnsi"/>
          <w:sz w:val="22"/>
          <w:szCs w:val="22"/>
        </w:rPr>
        <w:lastRenderedPageBreak/>
        <w:t>Software Development Degree.</w:t>
      </w:r>
      <w:r>
        <w:rPr>
          <w:rStyle w:val="normaltextrun"/>
          <w:rFonts w:asciiTheme="minorHAnsi" w:hAnsiTheme="minorHAnsi" w:cstheme="minorHAnsi"/>
          <w:sz w:val="22"/>
          <w:szCs w:val="22"/>
        </w:rPr>
        <w:t xml:space="preserve">  The award will be presented at the NCL Apprenticeship Awards dinner on 6 March.</w:t>
      </w:r>
    </w:p>
    <w:p w14:paraId="0CA1A6F0" w14:textId="77777777" w:rsidR="00E879E2" w:rsidRDefault="00E879E2" w:rsidP="00E879E2">
      <w:pPr>
        <w:pStyle w:val="paragraph"/>
        <w:numPr>
          <w:ilvl w:val="0"/>
          <w:numId w:val="20"/>
        </w:numPr>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b/>
          <w:sz w:val="22"/>
          <w:szCs w:val="22"/>
        </w:rPr>
        <w:t>Table of projects showing their progress:</w:t>
      </w:r>
      <w:r>
        <w:rPr>
          <w:rStyle w:val="normaltextrun"/>
          <w:rFonts w:asciiTheme="minorHAnsi" w:hAnsiTheme="minorHAnsi" w:cstheme="minorHAnsi"/>
          <w:sz w:val="22"/>
          <w:szCs w:val="22"/>
        </w:rPr>
        <w:t xml:space="preserve">  KF and the RGP members welcomed this representation of the projects in hand and their respective status.  It gave a helpful picture of the developments in hand and their proximity to completion.</w:t>
      </w:r>
    </w:p>
    <w:p w14:paraId="308E0C5F" w14:textId="77777777" w:rsidR="00E879E2" w:rsidRDefault="00E879E2" w:rsidP="00E879E2">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547D616B" w14:textId="77777777" w:rsidR="0091770B" w:rsidRPr="00FB3772" w:rsidRDefault="0091770B" w:rsidP="0091770B">
      <w:pPr>
        <w:pStyle w:val="paragraph"/>
        <w:spacing w:before="0" w:beforeAutospacing="0" w:after="0" w:afterAutospacing="0"/>
        <w:jc w:val="both"/>
        <w:textAlignment w:val="baseline"/>
        <w:rPr>
          <w:rFonts w:asciiTheme="minorHAnsi" w:hAnsiTheme="minorHAnsi" w:cstheme="minorHAnsi"/>
          <w:b/>
          <w:sz w:val="22"/>
          <w:szCs w:val="22"/>
        </w:rPr>
      </w:pPr>
      <w:r w:rsidRPr="00FB3772">
        <w:rPr>
          <w:rFonts w:asciiTheme="minorHAnsi" w:hAnsiTheme="minorHAnsi" w:cstheme="minorHAnsi"/>
          <w:b/>
          <w:sz w:val="22"/>
          <w:szCs w:val="22"/>
        </w:rPr>
        <w:t>10.</w:t>
      </w:r>
      <w:r w:rsidRPr="00FB3772">
        <w:rPr>
          <w:rFonts w:asciiTheme="minorHAnsi" w:hAnsiTheme="minorHAnsi" w:cstheme="minorHAnsi"/>
          <w:b/>
          <w:sz w:val="22"/>
          <w:szCs w:val="22"/>
        </w:rPr>
        <w:tab/>
        <w:t>NCL Health and Safety Report</w:t>
      </w:r>
    </w:p>
    <w:p w14:paraId="690F1598" w14:textId="77777777" w:rsidR="0091770B" w:rsidRPr="00240869" w:rsidRDefault="0091770B" w:rsidP="0091770B">
      <w:pPr>
        <w:pStyle w:val="paragraph"/>
        <w:spacing w:before="0" w:beforeAutospacing="0" w:after="0" w:afterAutospacing="0"/>
        <w:ind w:left="1077" w:hanging="357"/>
        <w:jc w:val="both"/>
        <w:textAlignment w:val="baseline"/>
        <w:rPr>
          <w:rStyle w:val="normaltextrun"/>
          <w:rFonts w:asciiTheme="minorHAnsi" w:hAnsiTheme="minorHAnsi" w:cstheme="minorHAnsi"/>
          <w:sz w:val="22"/>
          <w:szCs w:val="22"/>
        </w:rPr>
      </w:pPr>
      <w:r w:rsidRPr="00240869">
        <w:rPr>
          <w:rFonts w:asciiTheme="minorHAnsi" w:hAnsiTheme="minorHAnsi" w:cstheme="minorHAnsi"/>
          <w:sz w:val="22"/>
          <w:szCs w:val="22"/>
        </w:rPr>
        <w:t xml:space="preserve">ET spoke to </w:t>
      </w:r>
      <w:r w:rsidR="00BB7E18">
        <w:rPr>
          <w:rFonts w:asciiTheme="minorHAnsi" w:hAnsiTheme="minorHAnsi" w:cstheme="minorHAnsi"/>
          <w:sz w:val="22"/>
          <w:szCs w:val="22"/>
        </w:rPr>
        <w:t>Robert</w:t>
      </w:r>
      <w:r w:rsidRPr="00240869">
        <w:rPr>
          <w:rFonts w:asciiTheme="minorHAnsi" w:hAnsiTheme="minorHAnsi" w:cstheme="minorHAnsi"/>
          <w:sz w:val="22"/>
          <w:szCs w:val="22"/>
        </w:rPr>
        <w:t xml:space="preserve"> Curran’s paper:  </w:t>
      </w:r>
    </w:p>
    <w:p w14:paraId="02BC4C41" w14:textId="77777777" w:rsidR="0091770B" w:rsidRPr="00FB3772" w:rsidRDefault="0091770B" w:rsidP="00BB7E18">
      <w:pPr>
        <w:pStyle w:val="paragraph"/>
        <w:spacing w:before="0" w:beforeAutospacing="0" w:after="0" w:afterAutospacing="0"/>
        <w:ind w:left="720"/>
        <w:jc w:val="both"/>
        <w:textAlignment w:val="baseline"/>
        <w:rPr>
          <w:rStyle w:val="normaltextrun"/>
          <w:rFonts w:asciiTheme="minorHAnsi" w:hAnsiTheme="minorHAnsi" w:cstheme="minorHAnsi"/>
          <w:bCs/>
          <w:sz w:val="22"/>
          <w:szCs w:val="22"/>
        </w:rPr>
      </w:pPr>
      <w:r w:rsidRPr="00FB3772">
        <w:rPr>
          <w:rStyle w:val="normaltextrun"/>
          <w:rFonts w:asciiTheme="minorHAnsi" w:hAnsiTheme="minorHAnsi" w:cstheme="minorHAnsi"/>
          <w:bCs/>
          <w:sz w:val="22"/>
          <w:szCs w:val="22"/>
        </w:rPr>
        <w:t>There have been no significant incidents since the last report to the RGP.</w:t>
      </w:r>
      <w:r w:rsidR="00BB7E18">
        <w:rPr>
          <w:rStyle w:val="normaltextrun"/>
          <w:rFonts w:asciiTheme="minorHAnsi" w:hAnsiTheme="minorHAnsi" w:cstheme="minorHAnsi"/>
          <w:bCs/>
          <w:sz w:val="22"/>
          <w:szCs w:val="22"/>
        </w:rPr>
        <w:t xml:space="preserve">  There are 2 on-going issues which the H&amp;S team is working with the relevant departments to resolve.</w:t>
      </w:r>
    </w:p>
    <w:p w14:paraId="0CC5F989" w14:textId="77777777" w:rsidR="0091770B" w:rsidRDefault="00BB7E18" w:rsidP="0091770B">
      <w:pPr>
        <w:pStyle w:val="paragraph"/>
        <w:spacing w:before="0" w:beforeAutospacing="0" w:after="0" w:afterAutospacing="0"/>
        <w:ind w:firstLine="720"/>
        <w:jc w:val="both"/>
        <w:textAlignment w:val="baseline"/>
        <w:rPr>
          <w:rStyle w:val="normaltextrun"/>
          <w:rFonts w:asciiTheme="minorHAnsi" w:hAnsiTheme="minorHAnsi" w:cstheme="minorHAnsi"/>
          <w:bCs/>
          <w:sz w:val="22"/>
          <w:szCs w:val="22"/>
        </w:rPr>
      </w:pPr>
      <w:r w:rsidRPr="00BB7E18">
        <w:rPr>
          <w:rStyle w:val="normaltextrun"/>
          <w:rFonts w:asciiTheme="minorHAnsi" w:hAnsiTheme="minorHAnsi" w:cstheme="minorHAnsi"/>
          <w:b/>
          <w:bCs/>
          <w:sz w:val="22"/>
          <w:szCs w:val="22"/>
        </w:rPr>
        <w:t>Legal compliance</w:t>
      </w:r>
      <w:r>
        <w:rPr>
          <w:rStyle w:val="normaltextrun"/>
          <w:rFonts w:asciiTheme="minorHAnsi" w:hAnsiTheme="minorHAnsi" w:cstheme="minorHAnsi"/>
          <w:bCs/>
          <w:sz w:val="22"/>
          <w:szCs w:val="22"/>
        </w:rPr>
        <w:t xml:space="preserve">:  </w:t>
      </w:r>
    </w:p>
    <w:p w14:paraId="2202BEC9" w14:textId="77777777" w:rsidR="00BB7E18" w:rsidRPr="00BB7E18" w:rsidRDefault="00BB7E18" w:rsidP="00BB7E18">
      <w:pPr>
        <w:pStyle w:val="paragraph"/>
        <w:numPr>
          <w:ilvl w:val="0"/>
          <w:numId w:val="21"/>
        </w:numPr>
        <w:spacing w:before="0" w:beforeAutospacing="0" w:after="0" w:afterAutospacing="0"/>
        <w:jc w:val="both"/>
        <w:textAlignment w:val="baseline"/>
        <w:rPr>
          <w:rFonts w:ascii="Calibri" w:hAnsi="Calibri" w:cs="Calibri"/>
          <w:sz w:val="22"/>
          <w:szCs w:val="22"/>
        </w:rPr>
      </w:pPr>
      <w:r w:rsidRPr="00BB7E18">
        <w:rPr>
          <w:rStyle w:val="normaltextrun"/>
          <w:rFonts w:ascii="Calibri" w:hAnsi="Calibri" w:cs="Calibri"/>
          <w:sz w:val="22"/>
          <w:szCs w:val="22"/>
        </w:rPr>
        <w:t>A new evacuation tag system has been introduced as a pilot in Motherwell to help ensure all areas of the building are safely evacuated in the event of an emergency.</w:t>
      </w:r>
      <w:r w:rsidRPr="00BB7E18">
        <w:rPr>
          <w:rStyle w:val="eop"/>
          <w:rFonts w:ascii="Calibri" w:hAnsi="Calibri" w:cs="Calibri"/>
          <w:sz w:val="22"/>
          <w:szCs w:val="22"/>
        </w:rPr>
        <w:t> </w:t>
      </w:r>
    </w:p>
    <w:p w14:paraId="5E5DF076" w14:textId="77777777" w:rsidR="00BB7E18" w:rsidRPr="00BB7E18" w:rsidRDefault="00BB7E18" w:rsidP="00BB7E18">
      <w:pPr>
        <w:pStyle w:val="paragraph"/>
        <w:numPr>
          <w:ilvl w:val="0"/>
          <w:numId w:val="21"/>
        </w:numPr>
        <w:spacing w:before="0" w:beforeAutospacing="0" w:after="0" w:afterAutospacing="0"/>
        <w:jc w:val="both"/>
        <w:textAlignment w:val="baseline"/>
        <w:rPr>
          <w:rFonts w:ascii="Calibri" w:hAnsi="Calibri" w:cs="Calibri"/>
          <w:sz w:val="22"/>
          <w:szCs w:val="22"/>
        </w:rPr>
      </w:pPr>
      <w:r w:rsidRPr="00BB7E18">
        <w:rPr>
          <w:rStyle w:val="normaltextrun"/>
          <w:rFonts w:ascii="Calibri" w:hAnsi="Calibri" w:cs="Calibri"/>
          <w:sz w:val="22"/>
          <w:szCs w:val="22"/>
        </w:rPr>
        <w:t>Fire lifts have now been installed at the Motherwell campus to significantly assist in the</w:t>
      </w:r>
      <w:r>
        <w:rPr>
          <w:rStyle w:val="normaltextrun"/>
          <w:rFonts w:ascii="Calibri" w:hAnsi="Calibri" w:cs="Calibri"/>
        </w:rPr>
        <w:t xml:space="preserve"> </w:t>
      </w:r>
      <w:r w:rsidRPr="00BB7E18">
        <w:rPr>
          <w:rStyle w:val="normaltextrun"/>
          <w:rFonts w:ascii="Calibri" w:hAnsi="Calibri" w:cs="Calibri"/>
          <w:sz w:val="22"/>
          <w:szCs w:val="22"/>
        </w:rPr>
        <w:t>evacuation of individuals with disabilities during an emergency.</w:t>
      </w:r>
      <w:r w:rsidRPr="00BB7E18">
        <w:rPr>
          <w:rStyle w:val="eop"/>
          <w:rFonts w:ascii="Calibri" w:hAnsi="Calibri" w:cs="Calibri"/>
          <w:sz w:val="22"/>
          <w:szCs w:val="22"/>
        </w:rPr>
        <w:t> </w:t>
      </w:r>
    </w:p>
    <w:p w14:paraId="54DECC73" w14:textId="77777777" w:rsidR="00BB7E18" w:rsidRDefault="00BB7E18" w:rsidP="00BB7E18">
      <w:pPr>
        <w:pStyle w:val="paragraph"/>
        <w:spacing w:before="0" w:beforeAutospacing="0" w:after="0" w:afterAutospacing="0"/>
        <w:ind w:left="720"/>
        <w:jc w:val="both"/>
        <w:textAlignment w:val="baseline"/>
        <w:rPr>
          <w:rStyle w:val="normaltextrun"/>
          <w:rFonts w:asciiTheme="minorHAnsi" w:hAnsiTheme="minorHAnsi" w:cstheme="minorHAnsi"/>
          <w:bCs/>
          <w:sz w:val="22"/>
          <w:szCs w:val="22"/>
        </w:rPr>
      </w:pPr>
      <w:r w:rsidRPr="00BB7E18">
        <w:rPr>
          <w:rStyle w:val="normaltextrun"/>
          <w:rFonts w:asciiTheme="minorHAnsi" w:hAnsiTheme="minorHAnsi" w:cstheme="minorHAnsi"/>
          <w:b/>
          <w:bCs/>
          <w:sz w:val="22"/>
          <w:szCs w:val="22"/>
        </w:rPr>
        <w:t>Health, Safety and Wellbeing Committee</w:t>
      </w:r>
      <w:r>
        <w:rPr>
          <w:rStyle w:val="normaltextrun"/>
          <w:rFonts w:asciiTheme="minorHAnsi" w:hAnsiTheme="minorHAnsi" w:cstheme="minorHAnsi"/>
          <w:bCs/>
          <w:sz w:val="22"/>
          <w:szCs w:val="22"/>
        </w:rPr>
        <w:t>:  KF asked how the H,S and Wellbeing Committee related to the RGP in the light of the postponement of the scheduled Committee meeting.  He was concerned that</w:t>
      </w:r>
      <w:r w:rsidR="00BC10CD">
        <w:rPr>
          <w:rStyle w:val="normaltextrun"/>
          <w:rFonts w:asciiTheme="minorHAnsi" w:hAnsiTheme="minorHAnsi" w:cstheme="minorHAnsi"/>
          <w:bCs/>
          <w:sz w:val="22"/>
          <w:szCs w:val="22"/>
        </w:rPr>
        <w:t xml:space="preserve">, </w:t>
      </w:r>
      <w:r>
        <w:rPr>
          <w:rStyle w:val="normaltextrun"/>
          <w:rFonts w:asciiTheme="minorHAnsi" w:hAnsiTheme="minorHAnsi" w:cstheme="minorHAnsi"/>
          <w:bCs/>
          <w:sz w:val="22"/>
          <w:szCs w:val="22"/>
        </w:rPr>
        <w:t>as the Board committee</w:t>
      </w:r>
      <w:r w:rsidR="00674146">
        <w:rPr>
          <w:rStyle w:val="normaltextrun"/>
          <w:rFonts w:asciiTheme="minorHAnsi" w:hAnsiTheme="minorHAnsi" w:cstheme="minorHAnsi"/>
          <w:bCs/>
          <w:sz w:val="22"/>
          <w:szCs w:val="22"/>
        </w:rPr>
        <w:t xml:space="preserve"> with the remit for overseeing health, safety and wellbeing in the college,</w:t>
      </w:r>
      <w:r w:rsidR="00BC10CD">
        <w:rPr>
          <w:rStyle w:val="normaltextrun"/>
          <w:rFonts w:asciiTheme="minorHAnsi" w:hAnsiTheme="minorHAnsi" w:cstheme="minorHAnsi"/>
          <w:bCs/>
          <w:sz w:val="22"/>
          <w:szCs w:val="22"/>
        </w:rPr>
        <w:t xml:space="preserve"> </w:t>
      </w:r>
      <w:r w:rsidR="00674146">
        <w:rPr>
          <w:rStyle w:val="normaltextrun"/>
          <w:rFonts w:asciiTheme="minorHAnsi" w:hAnsiTheme="minorHAnsi" w:cstheme="minorHAnsi"/>
          <w:bCs/>
          <w:sz w:val="22"/>
          <w:szCs w:val="22"/>
        </w:rPr>
        <w:t>the H&amp;S and Wellbeing Committee should meet prior to the RGP so that the RGP received the latest update.  ET said she would ensure that this order of committee meetings was retained.</w:t>
      </w:r>
      <w:r w:rsidR="00E5525D">
        <w:rPr>
          <w:rStyle w:val="normaltextrun"/>
          <w:rFonts w:asciiTheme="minorHAnsi" w:hAnsiTheme="minorHAnsi" w:cstheme="minorHAnsi"/>
          <w:bCs/>
          <w:sz w:val="22"/>
          <w:szCs w:val="22"/>
        </w:rPr>
        <w:t xml:space="preserve">  </w:t>
      </w:r>
    </w:p>
    <w:p w14:paraId="02563764" w14:textId="77777777" w:rsidR="00E5525D" w:rsidRDefault="00E5525D" w:rsidP="00BB7E18">
      <w:pPr>
        <w:pStyle w:val="paragraph"/>
        <w:spacing w:before="0" w:beforeAutospacing="0" w:after="0" w:afterAutospacing="0"/>
        <w:ind w:left="720"/>
        <w:jc w:val="both"/>
        <w:textAlignment w:val="baseline"/>
        <w:rPr>
          <w:rStyle w:val="normaltextrun"/>
          <w:rFonts w:asciiTheme="minorHAnsi" w:hAnsiTheme="minorHAnsi" w:cstheme="minorHAnsi"/>
          <w:bCs/>
          <w:sz w:val="22"/>
          <w:szCs w:val="22"/>
        </w:rPr>
      </w:pPr>
    </w:p>
    <w:p w14:paraId="4097A21D" w14:textId="77777777" w:rsidR="00E5525D" w:rsidRDefault="00E5525D" w:rsidP="00BB7E18">
      <w:pPr>
        <w:pStyle w:val="paragraph"/>
        <w:spacing w:before="0" w:beforeAutospacing="0" w:after="0" w:afterAutospacing="0"/>
        <w:ind w:left="720"/>
        <w:jc w:val="both"/>
        <w:textAlignment w:val="baseline"/>
        <w:rPr>
          <w:rStyle w:val="normaltextrun"/>
          <w:rFonts w:asciiTheme="minorHAnsi" w:hAnsiTheme="minorHAnsi" w:cstheme="minorHAnsi"/>
          <w:bCs/>
          <w:sz w:val="22"/>
          <w:szCs w:val="22"/>
        </w:rPr>
      </w:pPr>
      <w:r>
        <w:rPr>
          <w:rStyle w:val="normaltextrun"/>
          <w:rFonts w:asciiTheme="minorHAnsi" w:hAnsiTheme="minorHAnsi" w:cstheme="minorHAnsi"/>
          <w:bCs/>
          <w:sz w:val="22"/>
          <w:szCs w:val="22"/>
        </w:rPr>
        <w:t>KF asked the RGP if he should be replaced on the Health, Safety and Wellbeing Committee by a newer Board member to increase their involvement with the college.  CM said that KF’s experience in addition to his role as SIM brought enormous value to the H&amp;S Committee.</w:t>
      </w:r>
    </w:p>
    <w:p w14:paraId="14330184" w14:textId="77777777" w:rsidR="00674146" w:rsidRDefault="00674146" w:rsidP="00BB7E18">
      <w:pPr>
        <w:pStyle w:val="paragraph"/>
        <w:spacing w:before="0" w:beforeAutospacing="0" w:after="0" w:afterAutospacing="0"/>
        <w:ind w:left="720"/>
        <w:jc w:val="both"/>
        <w:textAlignment w:val="baseline"/>
        <w:rPr>
          <w:rStyle w:val="normaltextrun"/>
          <w:rFonts w:asciiTheme="minorHAnsi" w:hAnsiTheme="minorHAnsi" w:cstheme="minorHAnsi"/>
          <w:bCs/>
          <w:sz w:val="22"/>
          <w:szCs w:val="22"/>
        </w:rPr>
      </w:pPr>
    </w:p>
    <w:p w14:paraId="03CDDA4E" w14:textId="77777777" w:rsidR="00BB7E18" w:rsidRPr="00E5525D" w:rsidRDefault="00674146" w:rsidP="00E5525D">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Style w:val="normaltextrun"/>
          <w:rFonts w:asciiTheme="minorHAnsi" w:hAnsiTheme="minorHAnsi" w:cstheme="minorHAnsi"/>
          <w:b/>
          <w:bCs/>
          <w:i/>
          <w:sz w:val="22"/>
          <w:szCs w:val="22"/>
        </w:rPr>
      </w:pPr>
      <w:r w:rsidRPr="00674146">
        <w:rPr>
          <w:rStyle w:val="normaltextrun"/>
          <w:rFonts w:asciiTheme="minorHAnsi" w:hAnsiTheme="minorHAnsi" w:cstheme="minorHAnsi"/>
          <w:b/>
          <w:bCs/>
          <w:i/>
          <w:sz w:val="22"/>
          <w:szCs w:val="22"/>
        </w:rPr>
        <w:t>Action:  ET to ensure</w:t>
      </w:r>
      <w:r>
        <w:rPr>
          <w:rStyle w:val="normaltextrun"/>
          <w:rFonts w:asciiTheme="minorHAnsi" w:hAnsiTheme="minorHAnsi" w:cstheme="minorHAnsi"/>
          <w:b/>
          <w:bCs/>
          <w:i/>
          <w:sz w:val="22"/>
          <w:szCs w:val="22"/>
        </w:rPr>
        <w:t xml:space="preserve"> the re-arranged Health, Safety and Wellbeing Committee did not change the order of committee meetings such that the RGP did not receive the latest update.</w:t>
      </w:r>
    </w:p>
    <w:p w14:paraId="0B3CA267" w14:textId="77777777" w:rsidR="00BB7E18" w:rsidRPr="00FB3772" w:rsidRDefault="00BB7E18" w:rsidP="0091770B">
      <w:pPr>
        <w:pStyle w:val="paragraph"/>
        <w:spacing w:before="0" w:beforeAutospacing="0" w:after="0" w:afterAutospacing="0"/>
        <w:ind w:firstLine="720"/>
        <w:jc w:val="both"/>
        <w:textAlignment w:val="baseline"/>
        <w:rPr>
          <w:rStyle w:val="normaltextrun"/>
          <w:rFonts w:asciiTheme="minorHAnsi" w:hAnsiTheme="minorHAnsi" w:cstheme="minorHAnsi"/>
          <w:bCs/>
          <w:sz w:val="22"/>
          <w:szCs w:val="22"/>
        </w:rPr>
      </w:pPr>
    </w:p>
    <w:p w14:paraId="302F0882" w14:textId="77777777" w:rsidR="0091770B" w:rsidRPr="00FB3772" w:rsidRDefault="0091770B" w:rsidP="0091770B">
      <w:pPr>
        <w:spacing w:after="0" w:line="240" w:lineRule="auto"/>
        <w:jc w:val="both"/>
        <w:rPr>
          <w:rFonts w:cstheme="minorHAnsi"/>
          <w:b/>
        </w:rPr>
      </w:pPr>
      <w:r w:rsidRPr="00FB3772">
        <w:rPr>
          <w:rFonts w:cstheme="minorHAnsi"/>
          <w:b/>
        </w:rPr>
        <w:t>11.</w:t>
      </w:r>
      <w:r w:rsidRPr="00FB3772">
        <w:rPr>
          <w:rFonts w:cstheme="minorHAnsi"/>
          <w:b/>
        </w:rPr>
        <w:tab/>
        <w:t>Brand update</w:t>
      </w:r>
    </w:p>
    <w:p w14:paraId="17663AD2" w14:textId="77777777" w:rsidR="0091770B" w:rsidRDefault="000737DE" w:rsidP="000737DE">
      <w:pPr>
        <w:spacing w:after="0" w:line="240" w:lineRule="auto"/>
        <w:ind w:left="720"/>
        <w:jc w:val="both"/>
        <w:textAlignment w:val="baseline"/>
        <w:rPr>
          <w:rFonts w:eastAsia="Times New Roman" w:cstheme="minorHAnsi"/>
          <w:lang w:eastAsia="en-GB"/>
        </w:rPr>
      </w:pPr>
      <w:r>
        <w:rPr>
          <w:rFonts w:eastAsia="Times New Roman" w:cstheme="minorHAnsi"/>
          <w:lang w:eastAsia="en-GB"/>
        </w:rPr>
        <w:t xml:space="preserve">The </w:t>
      </w:r>
      <w:r w:rsidR="00BA265C">
        <w:rPr>
          <w:rFonts w:eastAsia="Times New Roman" w:cstheme="minorHAnsi"/>
          <w:lang w:eastAsia="en-GB"/>
        </w:rPr>
        <w:t xml:space="preserve">wealth of information contained in the Brand </w:t>
      </w:r>
      <w:r>
        <w:rPr>
          <w:rFonts w:eastAsia="Times New Roman" w:cstheme="minorHAnsi"/>
          <w:lang w:eastAsia="en-GB"/>
        </w:rPr>
        <w:t>Dashboard was welcomed by the RGP</w:t>
      </w:r>
      <w:r w:rsidR="00BA265C">
        <w:rPr>
          <w:rFonts w:eastAsia="Times New Roman" w:cstheme="minorHAnsi"/>
          <w:lang w:eastAsia="en-GB"/>
        </w:rPr>
        <w:t>;  there was comment, however, on the colour scheme and the difficulty of reading the yellow text .  ET said she would discuss this with the Brand team.</w:t>
      </w:r>
    </w:p>
    <w:p w14:paraId="47EB4ABA" w14:textId="77777777" w:rsidR="00BA265C" w:rsidRDefault="00BA265C" w:rsidP="000737DE">
      <w:pPr>
        <w:spacing w:after="0" w:line="240" w:lineRule="auto"/>
        <w:ind w:left="720"/>
        <w:jc w:val="both"/>
        <w:textAlignment w:val="baseline"/>
        <w:rPr>
          <w:rFonts w:eastAsia="Times New Roman" w:cstheme="minorHAnsi"/>
          <w:lang w:eastAsia="en-GB"/>
        </w:rPr>
      </w:pPr>
    </w:p>
    <w:p w14:paraId="289EA381" w14:textId="77777777" w:rsidR="00BA265C" w:rsidRPr="00BA265C" w:rsidRDefault="00BA265C" w:rsidP="00BA265C">
      <w:pPr>
        <w:pBdr>
          <w:top w:val="single" w:sz="4" w:space="1" w:color="auto"/>
          <w:left w:val="single" w:sz="4" w:space="4" w:color="auto"/>
          <w:bottom w:val="single" w:sz="4" w:space="1" w:color="auto"/>
          <w:right w:val="single" w:sz="4" w:space="4" w:color="auto"/>
        </w:pBdr>
        <w:spacing w:after="0" w:line="240" w:lineRule="auto"/>
        <w:jc w:val="both"/>
        <w:textAlignment w:val="baseline"/>
        <w:rPr>
          <w:rFonts w:eastAsia="Times New Roman" w:cstheme="minorHAnsi"/>
          <w:b/>
          <w:i/>
          <w:lang w:eastAsia="en-GB"/>
        </w:rPr>
      </w:pPr>
      <w:r w:rsidRPr="00BA265C">
        <w:rPr>
          <w:rFonts w:eastAsia="Times New Roman" w:cstheme="minorHAnsi"/>
          <w:b/>
          <w:i/>
          <w:lang w:eastAsia="en-GB"/>
        </w:rPr>
        <w:t xml:space="preserve">Action:  ET to discuss the </w:t>
      </w:r>
      <w:r>
        <w:rPr>
          <w:rFonts w:eastAsia="Times New Roman" w:cstheme="minorHAnsi"/>
          <w:b/>
          <w:i/>
          <w:lang w:eastAsia="en-GB"/>
        </w:rPr>
        <w:t xml:space="preserve">change in text colouring with the </w:t>
      </w:r>
      <w:r w:rsidRPr="00BA265C">
        <w:rPr>
          <w:rFonts w:eastAsia="Times New Roman" w:cstheme="minorHAnsi"/>
          <w:b/>
          <w:i/>
          <w:lang w:eastAsia="en-GB"/>
        </w:rPr>
        <w:t xml:space="preserve">Brand </w:t>
      </w:r>
      <w:r>
        <w:rPr>
          <w:rFonts w:eastAsia="Times New Roman" w:cstheme="minorHAnsi"/>
          <w:b/>
          <w:i/>
          <w:lang w:eastAsia="en-GB"/>
        </w:rPr>
        <w:t>Team.</w:t>
      </w:r>
    </w:p>
    <w:p w14:paraId="68F34ED9" w14:textId="77777777" w:rsidR="0091770B" w:rsidRPr="00FB3772" w:rsidRDefault="0091770B" w:rsidP="0091770B">
      <w:pPr>
        <w:spacing w:after="0" w:line="240" w:lineRule="auto"/>
        <w:jc w:val="both"/>
        <w:rPr>
          <w:rFonts w:cstheme="minorHAnsi"/>
          <w:b/>
        </w:rPr>
      </w:pPr>
    </w:p>
    <w:p w14:paraId="5924C381" w14:textId="77777777" w:rsidR="0091770B" w:rsidRPr="00FB3772" w:rsidRDefault="0091770B" w:rsidP="0091770B">
      <w:pPr>
        <w:spacing w:after="0" w:line="240" w:lineRule="auto"/>
        <w:jc w:val="both"/>
        <w:rPr>
          <w:rFonts w:cstheme="minorHAnsi"/>
        </w:rPr>
      </w:pPr>
      <w:r w:rsidRPr="00FB3772">
        <w:rPr>
          <w:rFonts w:cstheme="minorHAnsi"/>
          <w:b/>
        </w:rPr>
        <w:t>12.</w:t>
      </w:r>
      <w:r w:rsidRPr="00FB3772">
        <w:rPr>
          <w:rFonts w:cstheme="minorHAnsi"/>
          <w:b/>
        </w:rPr>
        <w:tab/>
        <w:t>NCL College Update</w:t>
      </w:r>
    </w:p>
    <w:p w14:paraId="726D228C" w14:textId="77777777" w:rsidR="0091770B" w:rsidRDefault="0091770B" w:rsidP="00D63A6D">
      <w:pPr>
        <w:spacing w:after="0" w:line="240" w:lineRule="auto"/>
        <w:ind w:firstLine="720"/>
        <w:jc w:val="both"/>
        <w:rPr>
          <w:rFonts w:cstheme="minorHAnsi"/>
        </w:rPr>
      </w:pPr>
      <w:r w:rsidRPr="00FB3772">
        <w:rPr>
          <w:rFonts w:cstheme="minorHAnsi"/>
        </w:rPr>
        <w:t>AB reported that</w:t>
      </w:r>
      <w:r w:rsidR="00D63A6D">
        <w:rPr>
          <w:rFonts w:cstheme="minorHAnsi"/>
        </w:rPr>
        <w:t>:</w:t>
      </w:r>
    </w:p>
    <w:p w14:paraId="5FD34A45" w14:textId="77777777" w:rsidR="0091770B" w:rsidRPr="00D63A6D" w:rsidRDefault="00D63A6D" w:rsidP="0091770B">
      <w:pPr>
        <w:pStyle w:val="ListParagraph"/>
        <w:numPr>
          <w:ilvl w:val="0"/>
          <w:numId w:val="24"/>
        </w:numPr>
        <w:spacing w:after="0" w:line="240" w:lineRule="auto"/>
        <w:jc w:val="both"/>
        <w:rPr>
          <w:rFonts w:cstheme="minorHAnsi"/>
          <w:bCs/>
        </w:rPr>
      </w:pPr>
      <w:r>
        <w:rPr>
          <w:rFonts w:cstheme="minorHAnsi"/>
          <w:b/>
          <w:bCs/>
        </w:rPr>
        <w:t>Learning Well, NCL’s new digital learning platform</w:t>
      </w:r>
      <w:r w:rsidRPr="00D63A6D">
        <w:rPr>
          <w:rFonts w:cstheme="minorHAnsi"/>
          <w:b/>
          <w:bCs/>
        </w:rPr>
        <w:t xml:space="preserve">, </w:t>
      </w:r>
      <w:r w:rsidRPr="00D63A6D">
        <w:rPr>
          <w:rFonts w:cstheme="minorHAnsi"/>
          <w:bCs/>
        </w:rPr>
        <w:t xml:space="preserve">was launched on 24 February with 91 students </w:t>
      </w:r>
      <w:r w:rsidRPr="00D63A6D">
        <w:rPr>
          <w:rFonts w:ascii="Calibri" w:hAnsi="Calibri" w:cs="Calibri"/>
          <w:color w:val="1B1B1B"/>
          <w:shd w:val="clear" w:color="auto" w:fill="FFFFFF"/>
        </w:rPr>
        <w:t>enrolled for the new degree in Business and Leadership. These new students would not have been able to join New College Lanarkshire  had it not been for this innovative development.</w:t>
      </w:r>
    </w:p>
    <w:p w14:paraId="47D52B2F" w14:textId="77777777" w:rsidR="00D63A6D" w:rsidRPr="0094250F" w:rsidRDefault="00D63A6D" w:rsidP="0091770B">
      <w:pPr>
        <w:pStyle w:val="ListParagraph"/>
        <w:numPr>
          <w:ilvl w:val="0"/>
          <w:numId w:val="24"/>
        </w:numPr>
        <w:spacing w:after="0" w:line="240" w:lineRule="auto"/>
        <w:jc w:val="both"/>
        <w:rPr>
          <w:rFonts w:cstheme="minorHAnsi"/>
          <w:bCs/>
        </w:rPr>
      </w:pPr>
      <w:r>
        <w:rPr>
          <w:rFonts w:cstheme="minorHAnsi"/>
          <w:b/>
          <w:bCs/>
        </w:rPr>
        <w:t xml:space="preserve">£1.3m </w:t>
      </w:r>
      <w:r w:rsidR="0094250F" w:rsidRPr="0094250F">
        <w:rPr>
          <w:rFonts w:cstheme="minorHAnsi"/>
          <w:bCs/>
        </w:rPr>
        <w:t>had been received from UWS as a result of the work of the Undergraduate School.</w:t>
      </w:r>
    </w:p>
    <w:p w14:paraId="57E6760D" w14:textId="77777777" w:rsidR="0094250F" w:rsidRPr="0094250F" w:rsidRDefault="0094250F" w:rsidP="0094250F">
      <w:pPr>
        <w:pStyle w:val="ListParagraph"/>
        <w:numPr>
          <w:ilvl w:val="0"/>
          <w:numId w:val="24"/>
        </w:numPr>
        <w:jc w:val="both"/>
        <w:rPr>
          <w:lang w:eastAsia="en-GB"/>
        </w:rPr>
      </w:pPr>
      <w:r w:rsidRPr="0094250F">
        <w:rPr>
          <w:rFonts w:cstheme="minorHAnsi"/>
          <w:b/>
          <w:bCs/>
        </w:rPr>
        <w:t xml:space="preserve">NCL’s success at the </w:t>
      </w:r>
      <w:r w:rsidRPr="0094250F">
        <w:rPr>
          <w:b/>
          <w:lang w:eastAsia="en-GB"/>
        </w:rPr>
        <w:t>AHT</w:t>
      </w:r>
      <w:r>
        <w:rPr>
          <w:lang w:eastAsia="en-GB"/>
        </w:rPr>
        <w:t xml:space="preserve"> (Association of Hairdressers and Therapists)</w:t>
      </w:r>
      <w:r w:rsidRPr="004E7BCC">
        <w:rPr>
          <w:lang w:eastAsia="en-GB"/>
        </w:rPr>
        <w:t xml:space="preserve"> Competition at </w:t>
      </w:r>
      <w:r>
        <w:rPr>
          <w:lang w:eastAsia="en-GB"/>
        </w:rPr>
        <w:t>the</w:t>
      </w:r>
      <w:r w:rsidRPr="004E7BCC">
        <w:rPr>
          <w:lang w:eastAsia="en-GB"/>
        </w:rPr>
        <w:t xml:space="preserve"> Motherwell Campus.  The college achieved outstanding success, being named Best College in Scotland.</w:t>
      </w:r>
    </w:p>
    <w:p w14:paraId="3F4BB19B" w14:textId="77777777" w:rsidR="0091770B" w:rsidRPr="0094250F" w:rsidRDefault="0091770B" w:rsidP="0094250F">
      <w:pPr>
        <w:spacing w:after="0" w:line="240" w:lineRule="auto"/>
        <w:jc w:val="both"/>
        <w:rPr>
          <w:rFonts w:cstheme="minorHAnsi"/>
          <w:b/>
        </w:rPr>
      </w:pPr>
      <w:r w:rsidRPr="0094250F">
        <w:rPr>
          <w:rFonts w:cstheme="minorHAnsi"/>
          <w:b/>
        </w:rPr>
        <w:t>13.</w:t>
      </w:r>
      <w:r w:rsidRPr="0094250F">
        <w:rPr>
          <w:rFonts w:cstheme="minorHAnsi"/>
          <w:b/>
        </w:rPr>
        <w:tab/>
        <w:t>RSB and Assigned College update</w:t>
      </w:r>
    </w:p>
    <w:p w14:paraId="55E95BD4" w14:textId="442E2999" w:rsidR="0091770B" w:rsidRDefault="0091770B" w:rsidP="0091770B">
      <w:pPr>
        <w:pStyle w:val="NoSpacing"/>
        <w:ind w:left="720"/>
        <w:jc w:val="both"/>
        <w:rPr>
          <w:rFonts w:cstheme="minorHAnsi"/>
        </w:rPr>
      </w:pPr>
      <w:r w:rsidRPr="00FB3772">
        <w:rPr>
          <w:rFonts w:cstheme="minorHAnsi"/>
        </w:rPr>
        <w:t>Ronnie Smith (RS) advised that</w:t>
      </w:r>
      <w:r w:rsidR="006F691B">
        <w:rPr>
          <w:rFonts w:cstheme="minorHAnsi"/>
        </w:rPr>
        <w:t xml:space="preserve"> the Scottish Government</w:t>
      </w:r>
      <w:r w:rsidR="00842974">
        <w:rPr>
          <w:rFonts w:cstheme="minorHAnsi"/>
        </w:rPr>
        <w:t>, SFC and the RSB will form the Lanarkshire Tripartite Group to take forward arrangements for the dissolution of the RSB at the end of July 2025.  The Scottish Government’s lawyers are preparing an SSI (Scottish Statutory Instrument) which will take down the Lanarkshire Order.  There will be a 5</w:t>
      </w:r>
      <w:r w:rsidR="00BB4A73">
        <w:rPr>
          <w:rFonts w:cstheme="minorHAnsi"/>
        </w:rPr>
        <w:t>4</w:t>
      </w:r>
      <w:r w:rsidR="00842974">
        <w:rPr>
          <w:rFonts w:cstheme="minorHAnsi"/>
        </w:rPr>
        <w:t xml:space="preserve"> day standstill period to allow for any objections to be raised in the Scottish Parliament but no objections are anticipated.  It is a tight timetable but as far as Lanarkshire is concerned (plans to dissolve the Glasgow Regional Board and </w:t>
      </w:r>
      <w:r w:rsidR="00842974">
        <w:rPr>
          <w:rFonts w:cstheme="minorHAnsi"/>
        </w:rPr>
        <w:lastRenderedPageBreak/>
        <w:t>running in tandem), no major difficulties are anticipated.  A preliminary meeting with SFC is scheduled to take place next week with the first Tripartite meeting set for the following week.  The Board and its Committees will be kept updated on developments.</w:t>
      </w:r>
    </w:p>
    <w:p w14:paraId="7474A9A8" w14:textId="77777777" w:rsidR="0091770B" w:rsidRPr="00FB3772" w:rsidRDefault="0091770B" w:rsidP="00842974">
      <w:pPr>
        <w:pStyle w:val="NoSpacing"/>
        <w:jc w:val="both"/>
        <w:rPr>
          <w:rFonts w:cstheme="minorHAnsi"/>
        </w:rPr>
      </w:pPr>
    </w:p>
    <w:p w14:paraId="3A9D8379" w14:textId="77777777" w:rsidR="0091770B" w:rsidRPr="00FB3772" w:rsidRDefault="0091770B" w:rsidP="0091770B">
      <w:pPr>
        <w:pStyle w:val="NoSpacing"/>
        <w:jc w:val="both"/>
        <w:rPr>
          <w:rFonts w:cstheme="minorHAnsi"/>
          <w:b/>
        </w:rPr>
      </w:pPr>
      <w:r w:rsidRPr="00FB3772">
        <w:rPr>
          <w:rFonts w:cstheme="minorHAnsi"/>
          <w:b/>
        </w:rPr>
        <w:t>14.</w:t>
      </w:r>
      <w:r w:rsidRPr="00FB3772">
        <w:rPr>
          <w:rFonts w:cstheme="minorHAnsi"/>
          <w:b/>
        </w:rPr>
        <w:tab/>
        <w:t>Chair’s update</w:t>
      </w:r>
    </w:p>
    <w:p w14:paraId="47C99318" w14:textId="77777777" w:rsidR="0091770B" w:rsidRDefault="00842974" w:rsidP="007C189F">
      <w:pPr>
        <w:pStyle w:val="NoSpacing"/>
        <w:ind w:left="720" w:hanging="720"/>
        <w:jc w:val="both"/>
        <w:rPr>
          <w:rFonts w:cstheme="minorHAnsi"/>
        </w:rPr>
      </w:pPr>
      <w:r w:rsidRPr="007C189F">
        <w:rPr>
          <w:rFonts w:cstheme="minorHAnsi"/>
          <w:b/>
        </w:rPr>
        <w:t>14.1</w:t>
      </w:r>
      <w:r>
        <w:rPr>
          <w:rFonts w:cstheme="minorHAnsi"/>
        </w:rPr>
        <w:tab/>
      </w:r>
      <w:r w:rsidRPr="00842974">
        <w:rPr>
          <w:rFonts w:cstheme="minorHAnsi"/>
          <w:b/>
        </w:rPr>
        <w:t>College Asset Disposal</w:t>
      </w:r>
      <w:r>
        <w:rPr>
          <w:rFonts w:cstheme="minorHAnsi"/>
          <w:b/>
        </w:rPr>
        <w:t xml:space="preserve"> – Ministerial letter:  </w:t>
      </w:r>
      <w:r w:rsidR="007C189F" w:rsidRPr="007C189F">
        <w:rPr>
          <w:rFonts w:cstheme="minorHAnsi"/>
        </w:rPr>
        <w:t>KF said that while the letter from the Minister setting out the Scottish Government’s position was welcome, greater transparency was needed</w:t>
      </w:r>
      <w:r w:rsidR="007C189F">
        <w:rPr>
          <w:rFonts w:cstheme="minorHAnsi"/>
        </w:rPr>
        <w:t xml:space="preserve">.  There remained areas of uncertainty such as that around </w:t>
      </w:r>
      <w:r w:rsidR="00080C4C">
        <w:rPr>
          <w:rFonts w:cstheme="minorHAnsi"/>
        </w:rPr>
        <w:t xml:space="preserve">the use of the words </w:t>
      </w:r>
      <w:r w:rsidR="007C189F">
        <w:rPr>
          <w:rFonts w:cstheme="minorHAnsi"/>
        </w:rPr>
        <w:t xml:space="preserve">‘property’/’assets’, the timeline over when the £1m was permitted, and the 70/30 split to a ‘charitable purpose’.  KF said that </w:t>
      </w:r>
      <w:r w:rsidR="007C189F" w:rsidRPr="004C0ED4">
        <w:rPr>
          <w:rFonts w:cstheme="minorHAnsi"/>
        </w:rPr>
        <w:t>the</w:t>
      </w:r>
      <w:r w:rsidR="00BC10CD" w:rsidRPr="004C0ED4">
        <w:rPr>
          <w:rFonts w:cstheme="minorHAnsi"/>
        </w:rPr>
        <w:t xml:space="preserve">se points had been covered mostly in the College’s original response and that the </w:t>
      </w:r>
      <w:r w:rsidR="007C189F" w:rsidRPr="004C0ED4">
        <w:rPr>
          <w:rFonts w:cstheme="minorHAnsi"/>
        </w:rPr>
        <w:t xml:space="preserve">RGP </w:t>
      </w:r>
      <w:r w:rsidR="007C189F">
        <w:rPr>
          <w:rFonts w:cstheme="minorHAnsi"/>
        </w:rPr>
        <w:t xml:space="preserve">would welcome clarity on these aspects.  </w:t>
      </w:r>
    </w:p>
    <w:p w14:paraId="1B1CED44" w14:textId="77777777" w:rsidR="007C189F" w:rsidRDefault="007C189F" w:rsidP="007C189F">
      <w:pPr>
        <w:pStyle w:val="NoSpacing"/>
        <w:ind w:left="720" w:hanging="720"/>
        <w:jc w:val="both"/>
        <w:rPr>
          <w:rFonts w:cstheme="minorHAnsi"/>
        </w:rPr>
      </w:pPr>
    </w:p>
    <w:p w14:paraId="3FC7129C" w14:textId="77777777" w:rsidR="007C189F" w:rsidRPr="004C0ED4" w:rsidRDefault="0063444A" w:rsidP="007C189F">
      <w:pPr>
        <w:pStyle w:val="NoSpacing"/>
        <w:ind w:left="720" w:hanging="720"/>
        <w:jc w:val="both"/>
        <w:rPr>
          <w:rFonts w:cstheme="minorHAnsi"/>
        </w:rPr>
      </w:pPr>
      <w:r w:rsidRPr="0063444A">
        <w:rPr>
          <w:rFonts w:cstheme="minorHAnsi"/>
          <w:b/>
        </w:rPr>
        <w:t>14.2</w:t>
      </w:r>
      <w:r>
        <w:rPr>
          <w:rFonts w:cstheme="minorHAnsi"/>
        </w:rPr>
        <w:tab/>
      </w:r>
      <w:r w:rsidR="007C189F">
        <w:rPr>
          <w:rFonts w:cstheme="minorHAnsi"/>
        </w:rPr>
        <w:t xml:space="preserve">In discussion KF </w:t>
      </w:r>
      <w:r w:rsidR="00BC10CD" w:rsidRPr="004C0ED4">
        <w:rPr>
          <w:rFonts w:cstheme="minorHAnsi"/>
        </w:rPr>
        <w:t>was of the view</w:t>
      </w:r>
      <w:r w:rsidR="007C189F" w:rsidRPr="004C0ED4">
        <w:rPr>
          <w:rFonts w:cstheme="minorHAnsi"/>
        </w:rPr>
        <w:t xml:space="preserve"> that monies in the </w:t>
      </w:r>
      <w:r w:rsidR="007C189F" w:rsidRPr="004C0ED4">
        <w:rPr>
          <w:rFonts w:cstheme="minorHAnsi"/>
          <w:b/>
        </w:rPr>
        <w:t>ALF (Arms Length Fund)</w:t>
      </w:r>
      <w:r w:rsidR="007C189F" w:rsidRPr="004C0ED4">
        <w:rPr>
          <w:rFonts w:cstheme="minorHAnsi"/>
        </w:rPr>
        <w:t xml:space="preserve"> would not </w:t>
      </w:r>
      <w:r w:rsidR="00BC10CD" w:rsidRPr="004C0ED4">
        <w:rPr>
          <w:rFonts w:cstheme="minorHAnsi"/>
        </w:rPr>
        <w:t xml:space="preserve">automatically </w:t>
      </w:r>
      <w:r w:rsidR="007C189F" w:rsidRPr="004C0ED4">
        <w:rPr>
          <w:rFonts w:cstheme="minorHAnsi"/>
        </w:rPr>
        <w:t>revert to the college in the case of the ALF being closed.  As an independent organisation closing the ALF was not a college decision,</w:t>
      </w:r>
      <w:r w:rsidRPr="004C0ED4">
        <w:rPr>
          <w:rFonts w:cstheme="minorHAnsi"/>
        </w:rPr>
        <w:t xml:space="preserve"> neither could the college claim the funds in the ALF.</w:t>
      </w:r>
      <w:r w:rsidR="003E13C6" w:rsidRPr="004C0ED4">
        <w:rPr>
          <w:rFonts w:cstheme="minorHAnsi"/>
        </w:rPr>
        <w:t xml:space="preserve">  With regard to the former, a decision on closure would be for the ALF Trustees to determine.  On the latter and as previously, the College could apply to receive a financial award(s) from the ALF and it would be for the Trustees to decide the success or otherwise of this.  KF’s view has been confirmed by legal advisers.</w:t>
      </w:r>
    </w:p>
    <w:p w14:paraId="5321BA65" w14:textId="77777777" w:rsidR="0091770B" w:rsidRDefault="0091770B" w:rsidP="0091770B">
      <w:pPr>
        <w:pStyle w:val="NoSpacing"/>
        <w:jc w:val="both"/>
        <w:rPr>
          <w:rFonts w:cstheme="minorHAnsi"/>
          <w:color w:val="FF0000"/>
        </w:rPr>
      </w:pPr>
    </w:p>
    <w:p w14:paraId="4FF898B8" w14:textId="77777777" w:rsidR="003E13C6" w:rsidRDefault="003E13C6" w:rsidP="0091770B">
      <w:pPr>
        <w:pStyle w:val="NoSpacing"/>
        <w:jc w:val="both"/>
        <w:rPr>
          <w:rFonts w:cstheme="minorHAnsi"/>
        </w:rPr>
      </w:pPr>
    </w:p>
    <w:p w14:paraId="0F07B77E" w14:textId="77777777" w:rsidR="003E13C6" w:rsidRPr="007C189F" w:rsidRDefault="003E13C6" w:rsidP="0091770B">
      <w:pPr>
        <w:pStyle w:val="NoSpacing"/>
        <w:jc w:val="both"/>
        <w:rPr>
          <w:rFonts w:cstheme="minorHAnsi"/>
        </w:rPr>
      </w:pPr>
    </w:p>
    <w:p w14:paraId="36171EC9" w14:textId="77777777" w:rsidR="0091770B" w:rsidRDefault="0091770B" w:rsidP="0091770B">
      <w:pPr>
        <w:pStyle w:val="NoSpacing"/>
        <w:jc w:val="both"/>
        <w:rPr>
          <w:rFonts w:cstheme="minorHAnsi"/>
          <w:b/>
        </w:rPr>
      </w:pPr>
      <w:r w:rsidRPr="00FB3772">
        <w:rPr>
          <w:rFonts w:cstheme="minorHAnsi"/>
          <w:b/>
        </w:rPr>
        <w:t>15.</w:t>
      </w:r>
      <w:r w:rsidRPr="00FB3772">
        <w:rPr>
          <w:rFonts w:cstheme="minorHAnsi"/>
          <w:b/>
        </w:rPr>
        <w:tab/>
        <w:t>Horizon scanning</w:t>
      </w:r>
    </w:p>
    <w:p w14:paraId="3004DFD5" w14:textId="77777777" w:rsidR="0063444A" w:rsidRPr="0063444A" w:rsidRDefault="0063444A" w:rsidP="0063444A">
      <w:pPr>
        <w:pStyle w:val="NoSpacing"/>
        <w:ind w:left="720"/>
        <w:jc w:val="both"/>
        <w:rPr>
          <w:rFonts w:cstheme="minorHAnsi"/>
        </w:rPr>
      </w:pPr>
      <w:r w:rsidRPr="0063444A">
        <w:rPr>
          <w:rFonts w:cstheme="minorHAnsi"/>
        </w:rPr>
        <w:t>CM advised that the consultation phase of Strategy 2030 would get underway the following week.  A number of sessions have been offered to staff who have shown a great deal of interest.</w:t>
      </w:r>
    </w:p>
    <w:p w14:paraId="460BCDEA" w14:textId="77777777" w:rsidR="0063444A" w:rsidRPr="00FB3772" w:rsidRDefault="0063444A" w:rsidP="0091770B">
      <w:pPr>
        <w:pStyle w:val="NoSpacing"/>
        <w:jc w:val="both"/>
        <w:rPr>
          <w:rFonts w:cstheme="minorHAnsi"/>
          <w:b/>
        </w:rPr>
      </w:pPr>
    </w:p>
    <w:p w14:paraId="4DE75430" w14:textId="77777777" w:rsidR="0091770B" w:rsidRPr="0063444A" w:rsidRDefault="0091770B" w:rsidP="0091770B">
      <w:pPr>
        <w:pStyle w:val="NoSpacing"/>
        <w:jc w:val="both"/>
        <w:rPr>
          <w:rFonts w:cstheme="minorHAnsi"/>
          <w:b/>
          <w:sz w:val="28"/>
          <w:szCs w:val="28"/>
        </w:rPr>
      </w:pPr>
      <w:r w:rsidRPr="0063444A">
        <w:rPr>
          <w:rFonts w:cstheme="minorHAnsi"/>
          <w:b/>
          <w:sz w:val="28"/>
          <w:szCs w:val="28"/>
        </w:rPr>
        <w:t>General Committee Business</w:t>
      </w:r>
    </w:p>
    <w:p w14:paraId="3E958889" w14:textId="77777777" w:rsidR="0091770B" w:rsidRPr="00FB3772" w:rsidRDefault="0091770B" w:rsidP="0091770B">
      <w:pPr>
        <w:pStyle w:val="NoSpacing"/>
        <w:jc w:val="both"/>
        <w:rPr>
          <w:rFonts w:cstheme="minorHAnsi"/>
        </w:rPr>
      </w:pPr>
    </w:p>
    <w:p w14:paraId="09A3B41C" w14:textId="77777777" w:rsidR="0091770B" w:rsidRPr="0063444A" w:rsidRDefault="0091770B" w:rsidP="0091770B">
      <w:pPr>
        <w:pStyle w:val="NoSpacing"/>
        <w:jc w:val="both"/>
        <w:rPr>
          <w:rFonts w:cstheme="minorHAnsi"/>
        </w:rPr>
      </w:pPr>
      <w:r w:rsidRPr="00FB3772">
        <w:rPr>
          <w:rFonts w:cstheme="minorHAnsi"/>
          <w:b/>
        </w:rPr>
        <w:t>16.</w:t>
      </w:r>
      <w:r w:rsidRPr="00FB3772">
        <w:rPr>
          <w:rFonts w:cstheme="minorHAnsi"/>
          <w:b/>
        </w:rPr>
        <w:tab/>
        <w:t>AOCB</w:t>
      </w:r>
      <w:r w:rsidR="0063444A">
        <w:rPr>
          <w:rFonts w:cstheme="minorHAnsi"/>
          <w:b/>
        </w:rPr>
        <w:t xml:space="preserve">:  </w:t>
      </w:r>
      <w:r w:rsidR="0063444A" w:rsidRPr="0063444A">
        <w:rPr>
          <w:rFonts w:cstheme="minorHAnsi"/>
        </w:rPr>
        <w:t>There was no AOCB</w:t>
      </w:r>
    </w:p>
    <w:p w14:paraId="68413C75" w14:textId="77777777" w:rsidR="0091770B" w:rsidRPr="00FB3772" w:rsidRDefault="0063444A" w:rsidP="0091770B">
      <w:pPr>
        <w:pStyle w:val="NoSpacing"/>
        <w:jc w:val="both"/>
        <w:rPr>
          <w:rFonts w:cstheme="minorHAnsi"/>
          <w:b/>
        </w:rPr>
      </w:pPr>
      <w:r>
        <w:rPr>
          <w:rFonts w:cstheme="minorHAnsi"/>
          <w:b/>
        </w:rPr>
        <w:tab/>
      </w:r>
    </w:p>
    <w:p w14:paraId="29B94DBD" w14:textId="77777777" w:rsidR="0091770B" w:rsidRPr="00FB3772" w:rsidRDefault="0091770B" w:rsidP="0091770B">
      <w:pPr>
        <w:pStyle w:val="NoSpacing"/>
        <w:jc w:val="both"/>
        <w:rPr>
          <w:rFonts w:cstheme="minorHAnsi"/>
          <w:b/>
        </w:rPr>
      </w:pPr>
      <w:r w:rsidRPr="00FB3772">
        <w:rPr>
          <w:rFonts w:cstheme="minorHAnsi"/>
          <w:b/>
        </w:rPr>
        <w:t>17.</w:t>
      </w:r>
      <w:r w:rsidRPr="00FB3772">
        <w:rPr>
          <w:rFonts w:cstheme="minorHAnsi"/>
          <w:b/>
        </w:rPr>
        <w:tab/>
        <w:t>Approval of publication of papers from this committee:</w:t>
      </w:r>
    </w:p>
    <w:p w14:paraId="44E82174" w14:textId="77777777" w:rsidR="0091770B" w:rsidRPr="00FB3772" w:rsidRDefault="0091770B" w:rsidP="0091770B">
      <w:pPr>
        <w:pStyle w:val="NoSpacing"/>
        <w:numPr>
          <w:ilvl w:val="0"/>
          <w:numId w:val="2"/>
        </w:numPr>
        <w:jc w:val="both"/>
        <w:rPr>
          <w:rFonts w:cstheme="minorHAnsi"/>
        </w:rPr>
      </w:pPr>
      <w:r w:rsidRPr="00FB3772">
        <w:rPr>
          <w:rFonts w:cstheme="minorHAnsi"/>
        </w:rPr>
        <w:t xml:space="preserve">Agenda for RGP </w:t>
      </w:r>
      <w:r w:rsidR="005E28F3">
        <w:rPr>
          <w:rFonts w:cstheme="minorHAnsi"/>
        </w:rPr>
        <w:t>24 February 2025</w:t>
      </w:r>
    </w:p>
    <w:p w14:paraId="18583828" w14:textId="77777777" w:rsidR="0091770B" w:rsidRDefault="0091770B" w:rsidP="0091770B">
      <w:pPr>
        <w:pStyle w:val="NoSpacing"/>
        <w:numPr>
          <w:ilvl w:val="0"/>
          <w:numId w:val="2"/>
        </w:numPr>
        <w:jc w:val="both"/>
        <w:rPr>
          <w:rFonts w:cstheme="minorHAnsi"/>
        </w:rPr>
      </w:pPr>
      <w:r w:rsidRPr="00FB3772">
        <w:rPr>
          <w:rFonts w:cstheme="minorHAnsi"/>
        </w:rPr>
        <w:t xml:space="preserve">Minutes of the meeting </w:t>
      </w:r>
      <w:r w:rsidR="005E28F3">
        <w:rPr>
          <w:rFonts w:cstheme="minorHAnsi"/>
        </w:rPr>
        <w:t xml:space="preserve">18 November </w:t>
      </w:r>
      <w:r w:rsidRPr="00FB3772">
        <w:rPr>
          <w:rFonts w:cstheme="minorHAnsi"/>
        </w:rPr>
        <w:t>2024</w:t>
      </w:r>
    </w:p>
    <w:p w14:paraId="5303FE45" w14:textId="77777777" w:rsidR="0091770B" w:rsidRDefault="0091770B" w:rsidP="0091770B">
      <w:pPr>
        <w:pStyle w:val="NoSpacing"/>
        <w:numPr>
          <w:ilvl w:val="0"/>
          <w:numId w:val="2"/>
        </w:numPr>
        <w:jc w:val="both"/>
        <w:rPr>
          <w:rFonts w:cstheme="minorHAnsi"/>
        </w:rPr>
      </w:pPr>
      <w:r>
        <w:rPr>
          <w:rFonts w:cstheme="minorHAnsi"/>
        </w:rPr>
        <w:t>Cumbernauld Nursery update</w:t>
      </w:r>
    </w:p>
    <w:p w14:paraId="5B3E8F8E" w14:textId="77777777" w:rsidR="00F8217B" w:rsidRPr="00FB3772" w:rsidRDefault="00F8217B" w:rsidP="0091770B">
      <w:pPr>
        <w:pStyle w:val="NoSpacing"/>
        <w:numPr>
          <w:ilvl w:val="0"/>
          <w:numId w:val="2"/>
        </w:numPr>
        <w:jc w:val="both"/>
        <w:rPr>
          <w:rFonts w:cstheme="minorHAnsi"/>
        </w:rPr>
      </w:pPr>
      <w:r>
        <w:rPr>
          <w:rFonts w:cstheme="minorHAnsi"/>
        </w:rPr>
        <w:t>Information Systems update</w:t>
      </w:r>
    </w:p>
    <w:p w14:paraId="0A162969" w14:textId="77777777" w:rsidR="0091770B" w:rsidRDefault="0091770B" w:rsidP="0091770B">
      <w:pPr>
        <w:pStyle w:val="NoSpacing"/>
        <w:numPr>
          <w:ilvl w:val="0"/>
          <w:numId w:val="2"/>
        </w:numPr>
        <w:jc w:val="both"/>
        <w:rPr>
          <w:rFonts w:cstheme="minorHAnsi"/>
        </w:rPr>
      </w:pPr>
      <w:r w:rsidRPr="00FB3772">
        <w:rPr>
          <w:rFonts w:cstheme="minorHAnsi"/>
        </w:rPr>
        <w:t>College Registrar’s Update</w:t>
      </w:r>
    </w:p>
    <w:p w14:paraId="0F3F4710" w14:textId="77777777" w:rsidR="00F8217B" w:rsidRDefault="00F8217B" w:rsidP="0091770B">
      <w:pPr>
        <w:pStyle w:val="NoSpacing"/>
        <w:numPr>
          <w:ilvl w:val="0"/>
          <w:numId w:val="2"/>
        </w:numPr>
        <w:jc w:val="both"/>
        <w:rPr>
          <w:rFonts w:cstheme="minorHAnsi"/>
        </w:rPr>
      </w:pPr>
      <w:r>
        <w:rPr>
          <w:rFonts w:cstheme="minorHAnsi"/>
        </w:rPr>
        <w:t>Healthy, Safety and Wellbeing update</w:t>
      </w:r>
    </w:p>
    <w:p w14:paraId="0995E0D8" w14:textId="77777777" w:rsidR="0091770B" w:rsidRDefault="0091770B" w:rsidP="0091770B">
      <w:pPr>
        <w:pStyle w:val="NoSpacing"/>
        <w:numPr>
          <w:ilvl w:val="0"/>
          <w:numId w:val="2"/>
        </w:numPr>
        <w:jc w:val="both"/>
        <w:rPr>
          <w:rFonts w:cstheme="minorHAnsi"/>
        </w:rPr>
      </w:pPr>
      <w:r w:rsidRPr="00FB3772">
        <w:rPr>
          <w:rFonts w:cstheme="minorHAnsi"/>
        </w:rPr>
        <w:t>Brand Dashboard</w:t>
      </w:r>
    </w:p>
    <w:p w14:paraId="55DF8281" w14:textId="77777777" w:rsidR="00F8217B" w:rsidRPr="00FB3772" w:rsidRDefault="00F8217B" w:rsidP="0091770B">
      <w:pPr>
        <w:pStyle w:val="NoSpacing"/>
        <w:numPr>
          <w:ilvl w:val="0"/>
          <w:numId w:val="2"/>
        </w:numPr>
        <w:jc w:val="both"/>
        <w:rPr>
          <w:rFonts w:cstheme="minorHAnsi"/>
        </w:rPr>
      </w:pPr>
      <w:r>
        <w:rPr>
          <w:rFonts w:cstheme="minorHAnsi"/>
        </w:rPr>
        <w:t>Ministerial letter</w:t>
      </w:r>
    </w:p>
    <w:p w14:paraId="7A9E6600" w14:textId="77777777" w:rsidR="0091770B" w:rsidRPr="00FB3772" w:rsidRDefault="0091770B" w:rsidP="0091770B">
      <w:pPr>
        <w:pStyle w:val="NoSpacing"/>
        <w:jc w:val="both"/>
        <w:rPr>
          <w:rFonts w:cstheme="minorHAnsi"/>
          <w:b/>
        </w:rPr>
      </w:pPr>
    </w:p>
    <w:p w14:paraId="29BC17B8" w14:textId="77777777" w:rsidR="0091770B" w:rsidRPr="00FB3772" w:rsidRDefault="0091770B" w:rsidP="0091770B">
      <w:pPr>
        <w:pStyle w:val="NoSpacing"/>
        <w:ind w:left="720" w:hanging="720"/>
        <w:jc w:val="both"/>
        <w:rPr>
          <w:rFonts w:cstheme="minorHAnsi"/>
          <w:color w:val="000000"/>
        </w:rPr>
      </w:pPr>
      <w:r w:rsidRPr="00FB3772">
        <w:rPr>
          <w:rFonts w:cstheme="minorHAnsi"/>
          <w:b/>
          <w:bCs/>
        </w:rPr>
        <w:t>1</w:t>
      </w:r>
      <w:r>
        <w:rPr>
          <w:rFonts w:cstheme="minorHAnsi"/>
          <w:b/>
          <w:bCs/>
        </w:rPr>
        <w:t>8</w:t>
      </w:r>
      <w:r w:rsidRPr="00FB3772">
        <w:rPr>
          <w:rFonts w:cstheme="minorHAnsi"/>
          <w:b/>
          <w:bCs/>
        </w:rPr>
        <w:t>.</w:t>
      </w:r>
      <w:r w:rsidRPr="00FB3772">
        <w:rPr>
          <w:rFonts w:cstheme="minorHAnsi"/>
          <w:b/>
          <w:bCs/>
        </w:rPr>
        <w:tab/>
        <w:t>Date of next meeting</w:t>
      </w:r>
      <w:r w:rsidRPr="00FB3772">
        <w:rPr>
          <w:rFonts w:cstheme="minorHAnsi"/>
          <w:bCs/>
        </w:rPr>
        <w:t xml:space="preserve">:  the next meeting of the RGP Committee will be on </w:t>
      </w:r>
      <w:r w:rsidRPr="00FB3772">
        <w:rPr>
          <w:rFonts w:cstheme="minorHAnsi"/>
          <w:b/>
          <w:bCs/>
        </w:rPr>
        <w:t xml:space="preserve">Monday </w:t>
      </w:r>
      <w:r w:rsidR="005E28F3">
        <w:rPr>
          <w:rFonts w:cstheme="minorHAnsi"/>
          <w:b/>
          <w:bCs/>
        </w:rPr>
        <w:t xml:space="preserve">19 May </w:t>
      </w:r>
      <w:r w:rsidRPr="00FB3772">
        <w:rPr>
          <w:rFonts w:cstheme="minorHAnsi"/>
          <w:b/>
          <w:bCs/>
        </w:rPr>
        <w:t xml:space="preserve">2025 at 15.00 at </w:t>
      </w:r>
      <w:r w:rsidR="005E28F3">
        <w:rPr>
          <w:rFonts w:cstheme="minorHAnsi"/>
          <w:b/>
          <w:bCs/>
        </w:rPr>
        <w:t xml:space="preserve">Motherwell </w:t>
      </w:r>
      <w:r w:rsidRPr="00FB3772">
        <w:rPr>
          <w:rFonts w:cstheme="minorHAnsi"/>
          <w:b/>
          <w:bCs/>
        </w:rPr>
        <w:t>Campus and via Zoom.</w:t>
      </w:r>
    </w:p>
    <w:p w14:paraId="2FE6C24A" w14:textId="77777777" w:rsidR="0091770B" w:rsidRPr="00FB3772" w:rsidRDefault="0091770B" w:rsidP="0091770B">
      <w:pPr>
        <w:spacing w:line="240" w:lineRule="auto"/>
        <w:rPr>
          <w:rFonts w:cstheme="minorHAnsi"/>
        </w:rPr>
      </w:pPr>
    </w:p>
    <w:p w14:paraId="42B85F8F" w14:textId="77777777" w:rsidR="0091770B" w:rsidRPr="00FB3772" w:rsidRDefault="0091770B" w:rsidP="0091770B">
      <w:pPr>
        <w:spacing w:line="240" w:lineRule="auto"/>
        <w:rPr>
          <w:rFonts w:cstheme="minorHAnsi"/>
        </w:rPr>
      </w:pPr>
    </w:p>
    <w:p w14:paraId="3636C026" w14:textId="77777777" w:rsidR="0091770B" w:rsidRDefault="0091770B" w:rsidP="0091770B"/>
    <w:p w14:paraId="6D764B6B" w14:textId="77777777" w:rsidR="00316C84" w:rsidRDefault="00316C84"/>
    <w:sectPr w:rsidR="00316C84" w:rsidSect="00316C84">
      <w:headerReference w:type="even" r:id="rId11"/>
      <w:headerReference w:type="default" r:id="rId12"/>
      <w:footerReference w:type="default" r:id="rId13"/>
      <w:headerReference w:type="first" r:id="rId14"/>
      <w:pgSz w:w="11906" w:h="16838" w:code="9"/>
      <w:pgMar w:top="1304" w:right="1134" w:bottom="680" w:left="1304"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C9BE2" w14:textId="77777777" w:rsidR="001E674A" w:rsidRDefault="001E674A">
      <w:pPr>
        <w:spacing w:after="0" w:line="240" w:lineRule="auto"/>
      </w:pPr>
      <w:r>
        <w:separator/>
      </w:r>
    </w:p>
  </w:endnote>
  <w:endnote w:type="continuationSeparator" w:id="0">
    <w:p w14:paraId="1187B5BA" w14:textId="77777777" w:rsidR="001E674A" w:rsidRDefault="001E6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810157457"/>
      <w:docPartObj>
        <w:docPartGallery w:val="Page Numbers (Bottom of Page)"/>
        <w:docPartUnique/>
      </w:docPartObj>
    </w:sdtPr>
    <w:sdtEndPr>
      <w:rPr>
        <w:noProof/>
        <w:sz w:val="20"/>
        <w:szCs w:val="20"/>
      </w:rPr>
    </w:sdtEndPr>
    <w:sdtContent>
      <w:p w14:paraId="5B9443E0" w14:textId="77777777" w:rsidR="00316C84" w:rsidRPr="00C12D09" w:rsidRDefault="00316C84" w:rsidP="00316C84">
        <w:pPr>
          <w:pStyle w:val="Footer"/>
          <w:jc w:val="right"/>
          <w:rPr>
            <w:noProof/>
          </w:rPr>
        </w:pPr>
        <w:r w:rsidRPr="00C12D09">
          <w:fldChar w:fldCharType="begin"/>
        </w:r>
        <w:r w:rsidRPr="00C12D09">
          <w:instrText xml:space="preserve"> PAGE   \* MERGEFORMAT </w:instrText>
        </w:r>
        <w:r w:rsidRPr="00C12D09">
          <w:fldChar w:fldCharType="separate"/>
        </w:r>
        <w:r>
          <w:rPr>
            <w:noProof/>
          </w:rPr>
          <w:t>1</w:t>
        </w:r>
        <w:r w:rsidRPr="00C12D09">
          <w:rPr>
            <w:noProof/>
          </w:rPr>
          <w:fldChar w:fldCharType="end"/>
        </w:r>
      </w:p>
      <w:p w14:paraId="61FCC07D" w14:textId="77777777" w:rsidR="00316C84" w:rsidRPr="00C12D09" w:rsidRDefault="00316C84" w:rsidP="00316C84">
        <w:pPr>
          <w:pStyle w:val="Footer"/>
          <w:jc w:val="right"/>
          <w:rPr>
            <w:sz w:val="20"/>
            <w:szCs w:val="20"/>
          </w:rPr>
        </w:pPr>
        <w:r w:rsidRPr="00C12D09">
          <w:rPr>
            <w:noProof/>
            <w:sz w:val="16"/>
            <w:szCs w:val="16"/>
          </w:rPr>
          <w:t>The Lanarkshire Board Registered Charity Number SC021206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7D1B3" w14:textId="77777777" w:rsidR="001E674A" w:rsidRDefault="001E674A">
      <w:pPr>
        <w:spacing w:after="0" w:line="240" w:lineRule="auto"/>
      </w:pPr>
      <w:r>
        <w:separator/>
      </w:r>
    </w:p>
  </w:footnote>
  <w:footnote w:type="continuationSeparator" w:id="0">
    <w:p w14:paraId="54DB2066" w14:textId="77777777" w:rsidR="001E674A" w:rsidRDefault="001E6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C166B" w14:textId="7D34E0CE" w:rsidR="00316C84" w:rsidRDefault="00316C84">
    <w:pPr>
      <w:pStyle w:val="Header"/>
    </w:pPr>
    <w:r>
      <w:rPr>
        <w:noProof/>
      </w:rPr>
      <mc:AlternateContent>
        <mc:Choice Requires="wps">
          <w:drawing>
            <wp:anchor distT="0" distB="0" distL="114300" distR="114300" simplePos="0" relativeHeight="251659264" behindDoc="1" locked="0" layoutInCell="0" allowOverlap="1" wp14:anchorId="354AD5F5" wp14:editId="12FEDBE4">
              <wp:simplePos x="0" y="0"/>
              <wp:positionH relativeFrom="margin">
                <wp:align>center</wp:align>
              </wp:positionH>
              <wp:positionV relativeFrom="margin">
                <wp:align>center</wp:align>
              </wp:positionV>
              <wp:extent cx="5297805" cy="3178810"/>
              <wp:effectExtent l="0" t="1162050" r="0" b="6597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97805" cy="31788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08AC1A8" w14:textId="77777777" w:rsidR="00316C84" w:rsidRDefault="00316C84" w:rsidP="00316C84">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54AD5F5" id="_x0000_t202" coordsize="21600,21600" o:spt="202" path="m,l,21600r21600,l21600,xe">
              <v:stroke joinstyle="miter"/>
              <v:path gradientshapeok="t" o:connecttype="rect"/>
            </v:shapetype>
            <v:shape id="Text Box 3" o:spid="_x0000_s1026" type="#_x0000_t202" style="position:absolute;margin-left:0;margin-top:0;width:417.15pt;height:250.3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" o:allowincell="f" filled="f" stroked="f">
              <v:stroke joinstyle="round"/>
              <o:lock v:ext="edit" shapetype="t"/>
              <v:textbox style="mso-fit-shape-to-text:t">
                <w:txbxContent>
                  <w:p w14:paraId="308AC1A8" w14:textId="77777777" w:rsidR="00316C84" w:rsidRDefault="00316C84" w:rsidP="00316C84">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C7F07" w14:textId="70A142A2" w:rsidR="00316C84" w:rsidRDefault="00316C84" w:rsidP="00316C84">
    <w:pPr>
      <w:pStyle w:val="Header"/>
      <w:jc w:val="right"/>
    </w:pPr>
    <w:r>
      <w:rPr>
        <w:noProof/>
      </w:rPr>
      <mc:AlternateContent>
        <mc:Choice Requires="wps">
          <w:drawing>
            <wp:anchor distT="0" distB="0" distL="114300" distR="114300" simplePos="0" relativeHeight="251660288" behindDoc="1" locked="0" layoutInCell="0" allowOverlap="1" wp14:anchorId="6A1DB580" wp14:editId="10C8E969">
              <wp:simplePos x="0" y="0"/>
              <wp:positionH relativeFrom="margin">
                <wp:align>center</wp:align>
              </wp:positionH>
              <wp:positionV relativeFrom="margin">
                <wp:align>center</wp:align>
              </wp:positionV>
              <wp:extent cx="5297805" cy="3178810"/>
              <wp:effectExtent l="0" t="1162050" r="0" b="6597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97805" cy="31788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E9A3DA" w14:textId="77777777" w:rsidR="00316C84" w:rsidRDefault="00316C84" w:rsidP="00316C84">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A1DB580" id="_x0000_t202" coordsize="21600,21600" o:spt="202" path="m,l,21600r21600,l21600,xe">
              <v:stroke joinstyle="miter"/>
              <v:path gradientshapeok="t" o:connecttype="rect"/>
            </v:shapetype>
            <v:shape id="Text Box 1" o:spid="_x0000_s1027" type="#_x0000_t202" style="position:absolute;left:0;text-align:left;margin-left:0;margin-top:0;width:417.15pt;height:250.3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" o:allowincell="f" filled="f" stroked="f">
              <v:stroke joinstyle="round"/>
              <o:lock v:ext="edit" shapetype="t"/>
              <v:textbox style="mso-fit-shape-to-text:t">
                <w:txbxContent>
                  <w:p w14:paraId="27E9A3DA" w14:textId="77777777" w:rsidR="00316C84" w:rsidRDefault="00316C84" w:rsidP="00316C84">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tab/>
    </w:r>
    <w:r>
      <w:tab/>
    </w:r>
    <w:r w:rsidRPr="003108F0">
      <w:rPr>
        <w:noProof/>
        <w:lang w:eastAsia="en-GB"/>
      </w:rPr>
      <w:drawing>
        <wp:inline distT="0" distB="0" distL="0" distR="0" wp14:anchorId="06AF28EE" wp14:editId="08C1E664">
          <wp:extent cx="1603201" cy="52387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603201" cy="5238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12192" w14:textId="170385E8" w:rsidR="00316C84" w:rsidRDefault="00316C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19A9"/>
    <w:multiLevelType w:val="hybridMultilevel"/>
    <w:tmpl w:val="196823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511CED"/>
    <w:multiLevelType w:val="hybridMultilevel"/>
    <w:tmpl w:val="0AD4AC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38346E"/>
    <w:multiLevelType w:val="hybridMultilevel"/>
    <w:tmpl w:val="D930B2F2"/>
    <w:lvl w:ilvl="0" w:tplc="08090001">
      <w:start w:val="1"/>
      <w:numFmt w:val="bullet"/>
      <w:lvlText w:val=""/>
      <w:lvlJc w:val="left"/>
      <w:pPr>
        <w:ind w:left="1080" w:hanging="360"/>
      </w:pPr>
      <w:rPr>
        <w:rFonts w:ascii="Symbol" w:hAnsi="Symbol" w:hint="default"/>
      </w:rPr>
    </w:lvl>
    <w:lvl w:ilvl="1" w:tplc="100CE8BC">
      <w:numFmt w:val="bullet"/>
      <w:lvlText w:val="•"/>
      <w:lvlJc w:val="left"/>
      <w:pPr>
        <w:ind w:left="1800" w:hanging="360"/>
      </w:pPr>
      <w:rPr>
        <w:rFonts w:ascii="Calibri" w:eastAsiaTheme="minorHAns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921D7D"/>
    <w:multiLevelType w:val="hybridMultilevel"/>
    <w:tmpl w:val="9BBCF8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B2331D6"/>
    <w:multiLevelType w:val="hybridMultilevel"/>
    <w:tmpl w:val="AE2EA252"/>
    <w:lvl w:ilvl="0" w:tplc="100CE8BC">
      <w:numFmt w:val="bullet"/>
      <w:lvlText w:val="•"/>
      <w:lvlJc w:val="left"/>
      <w:pPr>
        <w:ind w:left="1080" w:hanging="360"/>
      </w:pPr>
      <w:rPr>
        <w:rFonts w:ascii="Calibri" w:eastAsiaTheme="minorHAnsi" w:hAnsi="Calibri" w:cs="Calibri" w:hint="default"/>
      </w:rPr>
    </w:lvl>
    <w:lvl w:ilvl="1" w:tplc="100CE8BC">
      <w:numFmt w:val="bullet"/>
      <w:lvlText w:val="•"/>
      <w:lvlJc w:val="left"/>
      <w:pPr>
        <w:ind w:left="1800" w:hanging="360"/>
      </w:pPr>
      <w:rPr>
        <w:rFonts w:ascii="Calibri" w:eastAsiaTheme="minorHAns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D8F24E3"/>
    <w:multiLevelType w:val="multilevel"/>
    <w:tmpl w:val="B6684A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BC5F69"/>
    <w:multiLevelType w:val="hybridMultilevel"/>
    <w:tmpl w:val="34228CB0"/>
    <w:lvl w:ilvl="0" w:tplc="100CE8B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86B5A50"/>
    <w:multiLevelType w:val="hybridMultilevel"/>
    <w:tmpl w:val="1EAAD0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63141C2"/>
    <w:multiLevelType w:val="multilevel"/>
    <w:tmpl w:val="F90E1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DA5724"/>
    <w:multiLevelType w:val="hybridMultilevel"/>
    <w:tmpl w:val="81E0DA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D790A65"/>
    <w:multiLevelType w:val="multilevel"/>
    <w:tmpl w:val="D106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8B4415"/>
    <w:multiLevelType w:val="multilevel"/>
    <w:tmpl w:val="34169CDE"/>
    <w:lvl w:ilvl="0">
      <w:start w:val="1"/>
      <w:numFmt w:val="bullet"/>
      <w:lvlText w:val=""/>
      <w:lvlJc w:val="left"/>
      <w:pPr>
        <w:tabs>
          <w:tab w:val="num" w:pos="-4605"/>
        </w:tabs>
        <w:ind w:left="-4605" w:hanging="360"/>
      </w:pPr>
      <w:rPr>
        <w:rFonts w:ascii="Symbol" w:hAnsi="Symbol" w:hint="default"/>
        <w:sz w:val="20"/>
      </w:rPr>
    </w:lvl>
    <w:lvl w:ilvl="1" w:tentative="1">
      <w:start w:val="1"/>
      <w:numFmt w:val="bullet"/>
      <w:lvlText w:val=""/>
      <w:lvlJc w:val="left"/>
      <w:pPr>
        <w:tabs>
          <w:tab w:val="num" w:pos="-3885"/>
        </w:tabs>
        <w:ind w:left="-3885" w:hanging="360"/>
      </w:pPr>
      <w:rPr>
        <w:rFonts w:ascii="Symbol" w:hAnsi="Symbol" w:hint="default"/>
        <w:sz w:val="20"/>
      </w:rPr>
    </w:lvl>
    <w:lvl w:ilvl="2" w:tentative="1">
      <w:start w:val="1"/>
      <w:numFmt w:val="bullet"/>
      <w:lvlText w:val=""/>
      <w:lvlJc w:val="left"/>
      <w:pPr>
        <w:tabs>
          <w:tab w:val="num" w:pos="-3165"/>
        </w:tabs>
        <w:ind w:left="-3165" w:hanging="360"/>
      </w:pPr>
      <w:rPr>
        <w:rFonts w:ascii="Symbol" w:hAnsi="Symbol" w:hint="default"/>
        <w:sz w:val="20"/>
      </w:rPr>
    </w:lvl>
    <w:lvl w:ilvl="3" w:tentative="1">
      <w:start w:val="1"/>
      <w:numFmt w:val="bullet"/>
      <w:lvlText w:val=""/>
      <w:lvlJc w:val="left"/>
      <w:pPr>
        <w:tabs>
          <w:tab w:val="num" w:pos="-2445"/>
        </w:tabs>
        <w:ind w:left="-2445" w:hanging="360"/>
      </w:pPr>
      <w:rPr>
        <w:rFonts w:ascii="Symbol" w:hAnsi="Symbol" w:hint="default"/>
        <w:sz w:val="20"/>
      </w:rPr>
    </w:lvl>
    <w:lvl w:ilvl="4" w:tentative="1">
      <w:start w:val="1"/>
      <w:numFmt w:val="bullet"/>
      <w:lvlText w:val=""/>
      <w:lvlJc w:val="left"/>
      <w:pPr>
        <w:tabs>
          <w:tab w:val="num" w:pos="-1725"/>
        </w:tabs>
        <w:ind w:left="-1725" w:hanging="360"/>
      </w:pPr>
      <w:rPr>
        <w:rFonts w:ascii="Symbol" w:hAnsi="Symbol" w:hint="default"/>
        <w:sz w:val="20"/>
      </w:rPr>
    </w:lvl>
    <w:lvl w:ilvl="5" w:tentative="1">
      <w:start w:val="1"/>
      <w:numFmt w:val="bullet"/>
      <w:lvlText w:val=""/>
      <w:lvlJc w:val="left"/>
      <w:pPr>
        <w:tabs>
          <w:tab w:val="num" w:pos="-1005"/>
        </w:tabs>
        <w:ind w:left="-1005" w:hanging="360"/>
      </w:pPr>
      <w:rPr>
        <w:rFonts w:ascii="Symbol" w:hAnsi="Symbol" w:hint="default"/>
        <w:sz w:val="20"/>
      </w:rPr>
    </w:lvl>
    <w:lvl w:ilvl="6" w:tentative="1">
      <w:start w:val="1"/>
      <w:numFmt w:val="bullet"/>
      <w:lvlText w:val=""/>
      <w:lvlJc w:val="left"/>
      <w:pPr>
        <w:tabs>
          <w:tab w:val="num" w:pos="-285"/>
        </w:tabs>
        <w:ind w:left="-285" w:hanging="360"/>
      </w:pPr>
      <w:rPr>
        <w:rFonts w:ascii="Symbol" w:hAnsi="Symbol" w:hint="default"/>
        <w:sz w:val="20"/>
      </w:rPr>
    </w:lvl>
    <w:lvl w:ilvl="7" w:tentative="1">
      <w:start w:val="1"/>
      <w:numFmt w:val="bullet"/>
      <w:lvlText w:val=""/>
      <w:lvlJc w:val="left"/>
      <w:pPr>
        <w:tabs>
          <w:tab w:val="num" w:pos="435"/>
        </w:tabs>
        <w:ind w:left="435" w:hanging="360"/>
      </w:pPr>
      <w:rPr>
        <w:rFonts w:ascii="Symbol" w:hAnsi="Symbol" w:hint="default"/>
        <w:sz w:val="20"/>
      </w:rPr>
    </w:lvl>
    <w:lvl w:ilvl="8" w:tentative="1">
      <w:start w:val="1"/>
      <w:numFmt w:val="bullet"/>
      <w:lvlText w:val=""/>
      <w:lvlJc w:val="left"/>
      <w:pPr>
        <w:tabs>
          <w:tab w:val="num" w:pos="1155"/>
        </w:tabs>
        <w:ind w:left="1155" w:hanging="360"/>
      </w:pPr>
      <w:rPr>
        <w:rFonts w:ascii="Symbol" w:hAnsi="Symbol" w:hint="default"/>
        <w:sz w:val="20"/>
      </w:rPr>
    </w:lvl>
  </w:abstractNum>
  <w:abstractNum w:abstractNumId="12" w15:restartNumberingAfterBreak="0">
    <w:nsid w:val="3FDA4E66"/>
    <w:multiLevelType w:val="multilevel"/>
    <w:tmpl w:val="D324C1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457673"/>
    <w:multiLevelType w:val="hybridMultilevel"/>
    <w:tmpl w:val="DF3C9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B71EAB"/>
    <w:multiLevelType w:val="multilevel"/>
    <w:tmpl w:val="6F2ED1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267CE9"/>
    <w:multiLevelType w:val="multilevel"/>
    <w:tmpl w:val="736C8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A07659"/>
    <w:multiLevelType w:val="hybridMultilevel"/>
    <w:tmpl w:val="3C68C7E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A855B68"/>
    <w:multiLevelType w:val="hybridMultilevel"/>
    <w:tmpl w:val="BB7E7288"/>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0990F74"/>
    <w:multiLevelType w:val="hybridMultilevel"/>
    <w:tmpl w:val="6590B0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CD0808"/>
    <w:multiLevelType w:val="hybridMultilevel"/>
    <w:tmpl w:val="AAB8C0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C20F44"/>
    <w:multiLevelType w:val="hybridMultilevel"/>
    <w:tmpl w:val="ADF8A67A"/>
    <w:lvl w:ilvl="0" w:tplc="100CE8B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13E35F5"/>
    <w:multiLevelType w:val="multilevel"/>
    <w:tmpl w:val="6EEC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23599C"/>
    <w:multiLevelType w:val="multilevel"/>
    <w:tmpl w:val="FAB6B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0C13DA"/>
    <w:multiLevelType w:val="hybridMultilevel"/>
    <w:tmpl w:val="A4DC13B6"/>
    <w:lvl w:ilvl="0" w:tplc="100CE8B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20"/>
  </w:num>
  <w:num w:numId="3">
    <w:abstractNumId w:val="2"/>
  </w:num>
  <w:num w:numId="4">
    <w:abstractNumId w:val="0"/>
  </w:num>
  <w:num w:numId="5">
    <w:abstractNumId w:val="16"/>
  </w:num>
  <w:num w:numId="6">
    <w:abstractNumId w:val="18"/>
  </w:num>
  <w:num w:numId="7">
    <w:abstractNumId w:val="17"/>
  </w:num>
  <w:num w:numId="8">
    <w:abstractNumId w:val="13"/>
  </w:num>
  <w:num w:numId="9">
    <w:abstractNumId w:val="22"/>
  </w:num>
  <w:num w:numId="10">
    <w:abstractNumId w:val="8"/>
  </w:num>
  <w:num w:numId="11">
    <w:abstractNumId w:val="15"/>
  </w:num>
  <w:num w:numId="12">
    <w:abstractNumId w:val="11"/>
  </w:num>
  <w:num w:numId="13">
    <w:abstractNumId w:val="19"/>
  </w:num>
  <w:num w:numId="14">
    <w:abstractNumId w:val="9"/>
  </w:num>
  <w:num w:numId="15">
    <w:abstractNumId w:val="3"/>
  </w:num>
  <w:num w:numId="16">
    <w:abstractNumId w:val="21"/>
  </w:num>
  <w:num w:numId="17">
    <w:abstractNumId w:val="10"/>
  </w:num>
  <w:num w:numId="18">
    <w:abstractNumId w:val="14"/>
  </w:num>
  <w:num w:numId="19">
    <w:abstractNumId w:val="1"/>
  </w:num>
  <w:num w:numId="20">
    <w:abstractNumId w:val="4"/>
  </w:num>
  <w:num w:numId="21">
    <w:abstractNumId w:val="6"/>
  </w:num>
  <w:num w:numId="22">
    <w:abstractNumId w:val="12"/>
  </w:num>
  <w:num w:numId="23">
    <w:abstractNumId w:val="5"/>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70B"/>
    <w:rsid w:val="000150C0"/>
    <w:rsid w:val="0002572C"/>
    <w:rsid w:val="000737DE"/>
    <w:rsid w:val="00080C4C"/>
    <w:rsid w:val="000A3A44"/>
    <w:rsid w:val="000B4F97"/>
    <w:rsid w:val="0011504A"/>
    <w:rsid w:val="001374D1"/>
    <w:rsid w:val="00151706"/>
    <w:rsid w:val="001746EE"/>
    <w:rsid w:val="00181646"/>
    <w:rsid w:val="001D421A"/>
    <w:rsid w:val="001E674A"/>
    <w:rsid w:val="001E7026"/>
    <w:rsid w:val="00217A77"/>
    <w:rsid w:val="00251604"/>
    <w:rsid w:val="00284873"/>
    <w:rsid w:val="00316C84"/>
    <w:rsid w:val="00324F8B"/>
    <w:rsid w:val="00352B3A"/>
    <w:rsid w:val="003D7801"/>
    <w:rsid w:val="003E13C6"/>
    <w:rsid w:val="00417B4F"/>
    <w:rsid w:val="00423852"/>
    <w:rsid w:val="0044051A"/>
    <w:rsid w:val="00441200"/>
    <w:rsid w:val="00445B9D"/>
    <w:rsid w:val="00477958"/>
    <w:rsid w:val="0048557C"/>
    <w:rsid w:val="004C0ED4"/>
    <w:rsid w:val="004D6B31"/>
    <w:rsid w:val="00500D9C"/>
    <w:rsid w:val="00514139"/>
    <w:rsid w:val="005543AC"/>
    <w:rsid w:val="0057034D"/>
    <w:rsid w:val="00570F1C"/>
    <w:rsid w:val="005A6F37"/>
    <w:rsid w:val="005D5697"/>
    <w:rsid w:val="005E2046"/>
    <w:rsid w:val="005E28F3"/>
    <w:rsid w:val="006215AC"/>
    <w:rsid w:val="0063444A"/>
    <w:rsid w:val="00673C8B"/>
    <w:rsid w:val="00674146"/>
    <w:rsid w:val="00686A5A"/>
    <w:rsid w:val="006A385F"/>
    <w:rsid w:val="006D3608"/>
    <w:rsid w:val="006E0CB2"/>
    <w:rsid w:val="006F691B"/>
    <w:rsid w:val="007556F9"/>
    <w:rsid w:val="00763C2A"/>
    <w:rsid w:val="007B334E"/>
    <w:rsid w:val="007C189F"/>
    <w:rsid w:val="007F26E4"/>
    <w:rsid w:val="008016BE"/>
    <w:rsid w:val="00805381"/>
    <w:rsid w:val="00842974"/>
    <w:rsid w:val="0084554E"/>
    <w:rsid w:val="00856D50"/>
    <w:rsid w:val="008F289C"/>
    <w:rsid w:val="008F47BC"/>
    <w:rsid w:val="0091568B"/>
    <w:rsid w:val="0091770B"/>
    <w:rsid w:val="0094250F"/>
    <w:rsid w:val="00942DF9"/>
    <w:rsid w:val="00984215"/>
    <w:rsid w:val="00990152"/>
    <w:rsid w:val="00991A62"/>
    <w:rsid w:val="00997355"/>
    <w:rsid w:val="009E441B"/>
    <w:rsid w:val="009E4F4D"/>
    <w:rsid w:val="00A17E9A"/>
    <w:rsid w:val="00A25216"/>
    <w:rsid w:val="00A52899"/>
    <w:rsid w:val="00A552BF"/>
    <w:rsid w:val="00A96903"/>
    <w:rsid w:val="00B24716"/>
    <w:rsid w:val="00B31630"/>
    <w:rsid w:val="00B676A2"/>
    <w:rsid w:val="00B70AF4"/>
    <w:rsid w:val="00B86DF2"/>
    <w:rsid w:val="00B93B0F"/>
    <w:rsid w:val="00BA265C"/>
    <w:rsid w:val="00BB4A73"/>
    <w:rsid w:val="00BB7E18"/>
    <w:rsid w:val="00BC10CD"/>
    <w:rsid w:val="00BC2130"/>
    <w:rsid w:val="00BF233F"/>
    <w:rsid w:val="00CA5008"/>
    <w:rsid w:val="00D03D5E"/>
    <w:rsid w:val="00D278AB"/>
    <w:rsid w:val="00D63A6D"/>
    <w:rsid w:val="00D90149"/>
    <w:rsid w:val="00E5525D"/>
    <w:rsid w:val="00E879E2"/>
    <w:rsid w:val="00E95E5E"/>
    <w:rsid w:val="00ED3797"/>
    <w:rsid w:val="00ED5157"/>
    <w:rsid w:val="00ED5CCD"/>
    <w:rsid w:val="00EE1288"/>
    <w:rsid w:val="00F055F9"/>
    <w:rsid w:val="00F41591"/>
    <w:rsid w:val="00F66699"/>
    <w:rsid w:val="00F8217B"/>
    <w:rsid w:val="00F83CE4"/>
    <w:rsid w:val="00FA2B2D"/>
    <w:rsid w:val="00FB39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C4327"/>
  <w15:chartTrackingRefBased/>
  <w15:docId w15:val="{14D443E5-B243-4557-A565-87F9F177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77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Points,MAIN CONTENT,List Paragraph12,List Paragraph11,Colorful List - Accent 11,Bullet 1,OBC Bullet,F5 List Paragraph,Normal numbered,L"/>
    <w:basedOn w:val="Normal"/>
    <w:link w:val="ListParagraphChar"/>
    <w:uiPriority w:val="34"/>
    <w:qFormat/>
    <w:rsid w:val="0091770B"/>
    <w:pPr>
      <w:ind w:left="720"/>
      <w:contextualSpacing/>
    </w:pPr>
  </w:style>
  <w:style w:type="paragraph" w:styleId="Header">
    <w:name w:val="header"/>
    <w:basedOn w:val="Normal"/>
    <w:link w:val="HeaderChar"/>
    <w:uiPriority w:val="99"/>
    <w:unhideWhenUsed/>
    <w:rsid w:val="009177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770B"/>
  </w:style>
  <w:style w:type="paragraph" w:styleId="Footer">
    <w:name w:val="footer"/>
    <w:basedOn w:val="Normal"/>
    <w:link w:val="FooterChar"/>
    <w:uiPriority w:val="99"/>
    <w:unhideWhenUsed/>
    <w:rsid w:val="009177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70B"/>
  </w:style>
  <w:style w:type="paragraph" w:styleId="NoSpacing">
    <w:name w:val="No Spacing"/>
    <w:uiPriority w:val="1"/>
    <w:qFormat/>
    <w:rsid w:val="0091770B"/>
    <w:pPr>
      <w:spacing w:after="0" w:line="240" w:lineRule="auto"/>
    </w:p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Bullet 1 Char,L Char"/>
    <w:basedOn w:val="DefaultParagraphFont"/>
    <w:link w:val="ListParagraph"/>
    <w:uiPriority w:val="34"/>
    <w:locked/>
    <w:rsid w:val="0091770B"/>
  </w:style>
  <w:style w:type="paragraph" w:styleId="NormalWeb">
    <w:name w:val="Normal (Web)"/>
    <w:basedOn w:val="Normal"/>
    <w:uiPriority w:val="99"/>
    <w:semiHidden/>
    <w:unhideWhenUsed/>
    <w:rsid w:val="0091770B"/>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paragraph">
    <w:name w:val="paragraph"/>
    <w:basedOn w:val="Normal"/>
    <w:rsid w:val="009177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1770B"/>
  </w:style>
  <w:style w:type="character" w:customStyle="1" w:styleId="eop">
    <w:name w:val="eop"/>
    <w:basedOn w:val="DefaultParagraphFont"/>
    <w:rsid w:val="0091770B"/>
  </w:style>
  <w:style w:type="table" w:customStyle="1" w:styleId="TableGrid1">
    <w:name w:val="Table Grid1"/>
    <w:basedOn w:val="TableNormal"/>
    <w:next w:val="TableGrid"/>
    <w:uiPriority w:val="39"/>
    <w:rsid w:val="008F289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8F2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char">
    <w:name w:val="tabchar"/>
    <w:basedOn w:val="DefaultParagraphFont"/>
    <w:rsid w:val="00251604"/>
  </w:style>
  <w:style w:type="character" w:customStyle="1" w:styleId="scxw193497799">
    <w:name w:val="scxw193497799"/>
    <w:basedOn w:val="DefaultParagraphFont"/>
    <w:rsid w:val="009E4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82337">
      <w:bodyDiv w:val="1"/>
      <w:marLeft w:val="0"/>
      <w:marRight w:val="0"/>
      <w:marTop w:val="0"/>
      <w:marBottom w:val="0"/>
      <w:divBdr>
        <w:top w:val="none" w:sz="0" w:space="0" w:color="auto"/>
        <w:left w:val="none" w:sz="0" w:space="0" w:color="auto"/>
        <w:bottom w:val="none" w:sz="0" w:space="0" w:color="auto"/>
        <w:right w:val="none" w:sz="0" w:space="0" w:color="auto"/>
      </w:divBdr>
      <w:divsChild>
        <w:div w:id="1599218990">
          <w:marLeft w:val="0"/>
          <w:marRight w:val="0"/>
          <w:marTop w:val="0"/>
          <w:marBottom w:val="0"/>
          <w:divBdr>
            <w:top w:val="none" w:sz="0" w:space="0" w:color="auto"/>
            <w:left w:val="none" w:sz="0" w:space="0" w:color="auto"/>
            <w:bottom w:val="none" w:sz="0" w:space="0" w:color="auto"/>
            <w:right w:val="none" w:sz="0" w:space="0" w:color="auto"/>
          </w:divBdr>
        </w:div>
        <w:div w:id="1857763712">
          <w:marLeft w:val="0"/>
          <w:marRight w:val="0"/>
          <w:marTop w:val="0"/>
          <w:marBottom w:val="0"/>
          <w:divBdr>
            <w:top w:val="none" w:sz="0" w:space="0" w:color="auto"/>
            <w:left w:val="none" w:sz="0" w:space="0" w:color="auto"/>
            <w:bottom w:val="none" w:sz="0" w:space="0" w:color="auto"/>
            <w:right w:val="none" w:sz="0" w:space="0" w:color="auto"/>
          </w:divBdr>
        </w:div>
        <w:div w:id="2114933534">
          <w:marLeft w:val="0"/>
          <w:marRight w:val="0"/>
          <w:marTop w:val="0"/>
          <w:marBottom w:val="0"/>
          <w:divBdr>
            <w:top w:val="none" w:sz="0" w:space="0" w:color="auto"/>
            <w:left w:val="none" w:sz="0" w:space="0" w:color="auto"/>
            <w:bottom w:val="none" w:sz="0" w:space="0" w:color="auto"/>
            <w:right w:val="none" w:sz="0" w:space="0" w:color="auto"/>
          </w:divBdr>
        </w:div>
        <w:div w:id="42683863">
          <w:marLeft w:val="0"/>
          <w:marRight w:val="0"/>
          <w:marTop w:val="0"/>
          <w:marBottom w:val="0"/>
          <w:divBdr>
            <w:top w:val="none" w:sz="0" w:space="0" w:color="auto"/>
            <w:left w:val="none" w:sz="0" w:space="0" w:color="auto"/>
            <w:bottom w:val="none" w:sz="0" w:space="0" w:color="auto"/>
            <w:right w:val="none" w:sz="0" w:space="0" w:color="auto"/>
          </w:divBdr>
        </w:div>
        <w:div w:id="446506976">
          <w:marLeft w:val="0"/>
          <w:marRight w:val="0"/>
          <w:marTop w:val="0"/>
          <w:marBottom w:val="0"/>
          <w:divBdr>
            <w:top w:val="none" w:sz="0" w:space="0" w:color="auto"/>
            <w:left w:val="none" w:sz="0" w:space="0" w:color="auto"/>
            <w:bottom w:val="none" w:sz="0" w:space="0" w:color="auto"/>
            <w:right w:val="none" w:sz="0" w:space="0" w:color="auto"/>
          </w:divBdr>
        </w:div>
        <w:div w:id="878783428">
          <w:marLeft w:val="0"/>
          <w:marRight w:val="0"/>
          <w:marTop w:val="0"/>
          <w:marBottom w:val="0"/>
          <w:divBdr>
            <w:top w:val="none" w:sz="0" w:space="0" w:color="auto"/>
            <w:left w:val="none" w:sz="0" w:space="0" w:color="auto"/>
            <w:bottom w:val="none" w:sz="0" w:space="0" w:color="auto"/>
            <w:right w:val="none" w:sz="0" w:space="0" w:color="auto"/>
          </w:divBdr>
        </w:div>
        <w:div w:id="74476855">
          <w:marLeft w:val="0"/>
          <w:marRight w:val="0"/>
          <w:marTop w:val="0"/>
          <w:marBottom w:val="0"/>
          <w:divBdr>
            <w:top w:val="none" w:sz="0" w:space="0" w:color="auto"/>
            <w:left w:val="none" w:sz="0" w:space="0" w:color="auto"/>
            <w:bottom w:val="none" w:sz="0" w:space="0" w:color="auto"/>
            <w:right w:val="none" w:sz="0" w:space="0" w:color="auto"/>
          </w:divBdr>
        </w:div>
      </w:divsChild>
    </w:div>
    <w:div w:id="156967440">
      <w:bodyDiv w:val="1"/>
      <w:marLeft w:val="0"/>
      <w:marRight w:val="0"/>
      <w:marTop w:val="0"/>
      <w:marBottom w:val="0"/>
      <w:divBdr>
        <w:top w:val="none" w:sz="0" w:space="0" w:color="auto"/>
        <w:left w:val="none" w:sz="0" w:space="0" w:color="auto"/>
        <w:bottom w:val="none" w:sz="0" w:space="0" w:color="auto"/>
        <w:right w:val="none" w:sz="0" w:space="0" w:color="auto"/>
      </w:divBdr>
      <w:divsChild>
        <w:div w:id="1418549772">
          <w:marLeft w:val="0"/>
          <w:marRight w:val="0"/>
          <w:marTop w:val="0"/>
          <w:marBottom w:val="0"/>
          <w:divBdr>
            <w:top w:val="none" w:sz="0" w:space="0" w:color="auto"/>
            <w:left w:val="none" w:sz="0" w:space="0" w:color="auto"/>
            <w:bottom w:val="none" w:sz="0" w:space="0" w:color="auto"/>
            <w:right w:val="none" w:sz="0" w:space="0" w:color="auto"/>
          </w:divBdr>
        </w:div>
        <w:div w:id="298078477">
          <w:marLeft w:val="0"/>
          <w:marRight w:val="0"/>
          <w:marTop w:val="0"/>
          <w:marBottom w:val="0"/>
          <w:divBdr>
            <w:top w:val="none" w:sz="0" w:space="0" w:color="auto"/>
            <w:left w:val="none" w:sz="0" w:space="0" w:color="auto"/>
            <w:bottom w:val="none" w:sz="0" w:space="0" w:color="auto"/>
            <w:right w:val="none" w:sz="0" w:space="0" w:color="auto"/>
          </w:divBdr>
        </w:div>
      </w:divsChild>
    </w:div>
    <w:div w:id="281378188">
      <w:bodyDiv w:val="1"/>
      <w:marLeft w:val="0"/>
      <w:marRight w:val="0"/>
      <w:marTop w:val="0"/>
      <w:marBottom w:val="0"/>
      <w:divBdr>
        <w:top w:val="none" w:sz="0" w:space="0" w:color="auto"/>
        <w:left w:val="none" w:sz="0" w:space="0" w:color="auto"/>
        <w:bottom w:val="none" w:sz="0" w:space="0" w:color="auto"/>
        <w:right w:val="none" w:sz="0" w:space="0" w:color="auto"/>
      </w:divBdr>
      <w:divsChild>
        <w:div w:id="2078503975">
          <w:marLeft w:val="0"/>
          <w:marRight w:val="0"/>
          <w:marTop w:val="0"/>
          <w:marBottom w:val="0"/>
          <w:divBdr>
            <w:top w:val="none" w:sz="0" w:space="0" w:color="auto"/>
            <w:left w:val="none" w:sz="0" w:space="0" w:color="auto"/>
            <w:bottom w:val="none" w:sz="0" w:space="0" w:color="auto"/>
            <w:right w:val="none" w:sz="0" w:space="0" w:color="auto"/>
          </w:divBdr>
        </w:div>
        <w:div w:id="418599733">
          <w:marLeft w:val="0"/>
          <w:marRight w:val="0"/>
          <w:marTop w:val="0"/>
          <w:marBottom w:val="0"/>
          <w:divBdr>
            <w:top w:val="none" w:sz="0" w:space="0" w:color="auto"/>
            <w:left w:val="none" w:sz="0" w:space="0" w:color="auto"/>
            <w:bottom w:val="none" w:sz="0" w:space="0" w:color="auto"/>
            <w:right w:val="none" w:sz="0" w:space="0" w:color="auto"/>
          </w:divBdr>
        </w:div>
        <w:div w:id="1190727755">
          <w:marLeft w:val="0"/>
          <w:marRight w:val="0"/>
          <w:marTop w:val="0"/>
          <w:marBottom w:val="0"/>
          <w:divBdr>
            <w:top w:val="none" w:sz="0" w:space="0" w:color="auto"/>
            <w:left w:val="none" w:sz="0" w:space="0" w:color="auto"/>
            <w:bottom w:val="none" w:sz="0" w:space="0" w:color="auto"/>
            <w:right w:val="none" w:sz="0" w:space="0" w:color="auto"/>
          </w:divBdr>
        </w:div>
      </w:divsChild>
    </w:div>
    <w:div w:id="553545469">
      <w:bodyDiv w:val="1"/>
      <w:marLeft w:val="0"/>
      <w:marRight w:val="0"/>
      <w:marTop w:val="0"/>
      <w:marBottom w:val="0"/>
      <w:divBdr>
        <w:top w:val="none" w:sz="0" w:space="0" w:color="auto"/>
        <w:left w:val="none" w:sz="0" w:space="0" w:color="auto"/>
        <w:bottom w:val="none" w:sz="0" w:space="0" w:color="auto"/>
        <w:right w:val="none" w:sz="0" w:space="0" w:color="auto"/>
      </w:divBdr>
      <w:divsChild>
        <w:div w:id="1843277891">
          <w:marLeft w:val="0"/>
          <w:marRight w:val="0"/>
          <w:marTop w:val="0"/>
          <w:marBottom w:val="0"/>
          <w:divBdr>
            <w:top w:val="none" w:sz="0" w:space="0" w:color="auto"/>
            <w:left w:val="none" w:sz="0" w:space="0" w:color="auto"/>
            <w:bottom w:val="none" w:sz="0" w:space="0" w:color="auto"/>
            <w:right w:val="none" w:sz="0" w:space="0" w:color="auto"/>
          </w:divBdr>
        </w:div>
        <w:div w:id="167523486">
          <w:marLeft w:val="0"/>
          <w:marRight w:val="0"/>
          <w:marTop w:val="0"/>
          <w:marBottom w:val="0"/>
          <w:divBdr>
            <w:top w:val="none" w:sz="0" w:space="0" w:color="auto"/>
            <w:left w:val="none" w:sz="0" w:space="0" w:color="auto"/>
            <w:bottom w:val="none" w:sz="0" w:space="0" w:color="auto"/>
            <w:right w:val="none" w:sz="0" w:space="0" w:color="auto"/>
          </w:divBdr>
        </w:div>
        <w:div w:id="587077778">
          <w:marLeft w:val="0"/>
          <w:marRight w:val="0"/>
          <w:marTop w:val="0"/>
          <w:marBottom w:val="0"/>
          <w:divBdr>
            <w:top w:val="none" w:sz="0" w:space="0" w:color="auto"/>
            <w:left w:val="none" w:sz="0" w:space="0" w:color="auto"/>
            <w:bottom w:val="none" w:sz="0" w:space="0" w:color="auto"/>
            <w:right w:val="none" w:sz="0" w:space="0" w:color="auto"/>
          </w:divBdr>
        </w:div>
        <w:div w:id="958606530">
          <w:marLeft w:val="0"/>
          <w:marRight w:val="0"/>
          <w:marTop w:val="0"/>
          <w:marBottom w:val="0"/>
          <w:divBdr>
            <w:top w:val="none" w:sz="0" w:space="0" w:color="auto"/>
            <w:left w:val="none" w:sz="0" w:space="0" w:color="auto"/>
            <w:bottom w:val="none" w:sz="0" w:space="0" w:color="auto"/>
            <w:right w:val="none" w:sz="0" w:space="0" w:color="auto"/>
          </w:divBdr>
        </w:div>
      </w:divsChild>
    </w:div>
    <w:div w:id="957419132">
      <w:bodyDiv w:val="1"/>
      <w:marLeft w:val="0"/>
      <w:marRight w:val="0"/>
      <w:marTop w:val="0"/>
      <w:marBottom w:val="0"/>
      <w:divBdr>
        <w:top w:val="none" w:sz="0" w:space="0" w:color="auto"/>
        <w:left w:val="none" w:sz="0" w:space="0" w:color="auto"/>
        <w:bottom w:val="none" w:sz="0" w:space="0" w:color="auto"/>
        <w:right w:val="none" w:sz="0" w:space="0" w:color="auto"/>
      </w:divBdr>
      <w:divsChild>
        <w:div w:id="499199871">
          <w:marLeft w:val="0"/>
          <w:marRight w:val="0"/>
          <w:marTop w:val="0"/>
          <w:marBottom w:val="0"/>
          <w:divBdr>
            <w:top w:val="none" w:sz="0" w:space="0" w:color="auto"/>
            <w:left w:val="none" w:sz="0" w:space="0" w:color="auto"/>
            <w:bottom w:val="none" w:sz="0" w:space="0" w:color="auto"/>
            <w:right w:val="none" w:sz="0" w:space="0" w:color="auto"/>
          </w:divBdr>
        </w:div>
        <w:div w:id="525950189">
          <w:marLeft w:val="0"/>
          <w:marRight w:val="0"/>
          <w:marTop w:val="0"/>
          <w:marBottom w:val="0"/>
          <w:divBdr>
            <w:top w:val="none" w:sz="0" w:space="0" w:color="auto"/>
            <w:left w:val="none" w:sz="0" w:space="0" w:color="auto"/>
            <w:bottom w:val="none" w:sz="0" w:space="0" w:color="auto"/>
            <w:right w:val="none" w:sz="0" w:space="0" w:color="auto"/>
          </w:divBdr>
        </w:div>
        <w:div w:id="636883707">
          <w:marLeft w:val="0"/>
          <w:marRight w:val="0"/>
          <w:marTop w:val="0"/>
          <w:marBottom w:val="0"/>
          <w:divBdr>
            <w:top w:val="none" w:sz="0" w:space="0" w:color="auto"/>
            <w:left w:val="none" w:sz="0" w:space="0" w:color="auto"/>
            <w:bottom w:val="none" w:sz="0" w:space="0" w:color="auto"/>
            <w:right w:val="none" w:sz="0" w:space="0" w:color="auto"/>
          </w:divBdr>
          <w:divsChild>
            <w:div w:id="465902372">
              <w:marLeft w:val="0"/>
              <w:marRight w:val="0"/>
              <w:marTop w:val="0"/>
              <w:marBottom w:val="0"/>
              <w:divBdr>
                <w:top w:val="none" w:sz="0" w:space="0" w:color="auto"/>
                <w:left w:val="none" w:sz="0" w:space="0" w:color="auto"/>
                <w:bottom w:val="none" w:sz="0" w:space="0" w:color="auto"/>
                <w:right w:val="none" w:sz="0" w:space="0" w:color="auto"/>
              </w:divBdr>
            </w:div>
            <w:div w:id="1356233466">
              <w:marLeft w:val="0"/>
              <w:marRight w:val="0"/>
              <w:marTop w:val="0"/>
              <w:marBottom w:val="0"/>
              <w:divBdr>
                <w:top w:val="none" w:sz="0" w:space="0" w:color="auto"/>
                <w:left w:val="none" w:sz="0" w:space="0" w:color="auto"/>
                <w:bottom w:val="none" w:sz="0" w:space="0" w:color="auto"/>
                <w:right w:val="none" w:sz="0" w:space="0" w:color="auto"/>
              </w:divBdr>
            </w:div>
            <w:div w:id="46229175">
              <w:marLeft w:val="0"/>
              <w:marRight w:val="0"/>
              <w:marTop w:val="0"/>
              <w:marBottom w:val="0"/>
              <w:divBdr>
                <w:top w:val="none" w:sz="0" w:space="0" w:color="auto"/>
                <w:left w:val="none" w:sz="0" w:space="0" w:color="auto"/>
                <w:bottom w:val="none" w:sz="0" w:space="0" w:color="auto"/>
                <w:right w:val="none" w:sz="0" w:space="0" w:color="auto"/>
              </w:divBdr>
            </w:div>
            <w:div w:id="492990735">
              <w:marLeft w:val="0"/>
              <w:marRight w:val="0"/>
              <w:marTop w:val="0"/>
              <w:marBottom w:val="0"/>
              <w:divBdr>
                <w:top w:val="none" w:sz="0" w:space="0" w:color="auto"/>
                <w:left w:val="none" w:sz="0" w:space="0" w:color="auto"/>
                <w:bottom w:val="none" w:sz="0" w:space="0" w:color="auto"/>
                <w:right w:val="none" w:sz="0" w:space="0" w:color="auto"/>
              </w:divBdr>
            </w:div>
            <w:div w:id="1996568103">
              <w:marLeft w:val="0"/>
              <w:marRight w:val="0"/>
              <w:marTop w:val="0"/>
              <w:marBottom w:val="0"/>
              <w:divBdr>
                <w:top w:val="none" w:sz="0" w:space="0" w:color="auto"/>
                <w:left w:val="none" w:sz="0" w:space="0" w:color="auto"/>
                <w:bottom w:val="none" w:sz="0" w:space="0" w:color="auto"/>
                <w:right w:val="none" w:sz="0" w:space="0" w:color="auto"/>
              </w:divBdr>
            </w:div>
            <w:div w:id="250941310">
              <w:marLeft w:val="0"/>
              <w:marRight w:val="0"/>
              <w:marTop w:val="0"/>
              <w:marBottom w:val="0"/>
              <w:divBdr>
                <w:top w:val="none" w:sz="0" w:space="0" w:color="auto"/>
                <w:left w:val="none" w:sz="0" w:space="0" w:color="auto"/>
                <w:bottom w:val="none" w:sz="0" w:space="0" w:color="auto"/>
                <w:right w:val="none" w:sz="0" w:space="0" w:color="auto"/>
              </w:divBdr>
            </w:div>
            <w:div w:id="1837305088">
              <w:marLeft w:val="0"/>
              <w:marRight w:val="0"/>
              <w:marTop w:val="0"/>
              <w:marBottom w:val="0"/>
              <w:divBdr>
                <w:top w:val="none" w:sz="0" w:space="0" w:color="auto"/>
                <w:left w:val="none" w:sz="0" w:space="0" w:color="auto"/>
                <w:bottom w:val="none" w:sz="0" w:space="0" w:color="auto"/>
                <w:right w:val="none" w:sz="0" w:space="0" w:color="auto"/>
              </w:divBdr>
            </w:div>
            <w:div w:id="1997568410">
              <w:marLeft w:val="0"/>
              <w:marRight w:val="0"/>
              <w:marTop w:val="0"/>
              <w:marBottom w:val="0"/>
              <w:divBdr>
                <w:top w:val="none" w:sz="0" w:space="0" w:color="auto"/>
                <w:left w:val="none" w:sz="0" w:space="0" w:color="auto"/>
                <w:bottom w:val="none" w:sz="0" w:space="0" w:color="auto"/>
                <w:right w:val="none" w:sz="0" w:space="0" w:color="auto"/>
              </w:divBdr>
            </w:div>
            <w:div w:id="608657671">
              <w:marLeft w:val="0"/>
              <w:marRight w:val="0"/>
              <w:marTop w:val="0"/>
              <w:marBottom w:val="0"/>
              <w:divBdr>
                <w:top w:val="none" w:sz="0" w:space="0" w:color="auto"/>
                <w:left w:val="none" w:sz="0" w:space="0" w:color="auto"/>
                <w:bottom w:val="none" w:sz="0" w:space="0" w:color="auto"/>
                <w:right w:val="none" w:sz="0" w:space="0" w:color="auto"/>
              </w:divBdr>
            </w:div>
            <w:div w:id="2140225067">
              <w:marLeft w:val="0"/>
              <w:marRight w:val="0"/>
              <w:marTop w:val="0"/>
              <w:marBottom w:val="0"/>
              <w:divBdr>
                <w:top w:val="none" w:sz="0" w:space="0" w:color="auto"/>
                <w:left w:val="none" w:sz="0" w:space="0" w:color="auto"/>
                <w:bottom w:val="none" w:sz="0" w:space="0" w:color="auto"/>
                <w:right w:val="none" w:sz="0" w:space="0" w:color="auto"/>
              </w:divBdr>
            </w:div>
            <w:div w:id="66151182">
              <w:marLeft w:val="0"/>
              <w:marRight w:val="0"/>
              <w:marTop w:val="0"/>
              <w:marBottom w:val="0"/>
              <w:divBdr>
                <w:top w:val="none" w:sz="0" w:space="0" w:color="auto"/>
                <w:left w:val="none" w:sz="0" w:space="0" w:color="auto"/>
                <w:bottom w:val="none" w:sz="0" w:space="0" w:color="auto"/>
                <w:right w:val="none" w:sz="0" w:space="0" w:color="auto"/>
              </w:divBdr>
            </w:div>
            <w:div w:id="86267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83303">
      <w:bodyDiv w:val="1"/>
      <w:marLeft w:val="0"/>
      <w:marRight w:val="0"/>
      <w:marTop w:val="0"/>
      <w:marBottom w:val="0"/>
      <w:divBdr>
        <w:top w:val="none" w:sz="0" w:space="0" w:color="auto"/>
        <w:left w:val="none" w:sz="0" w:space="0" w:color="auto"/>
        <w:bottom w:val="none" w:sz="0" w:space="0" w:color="auto"/>
        <w:right w:val="none" w:sz="0" w:space="0" w:color="auto"/>
      </w:divBdr>
    </w:div>
    <w:div w:id="1202129414">
      <w:bodyDiv w:val="1"/>
      <w:marLeft w:val="0"/>
      <w:marRight w:val="0"/>
      <w:marTop w:val="0"/>
      <w:marBottom w:val="0"/>
      <w:divBdr>
        <w:top w:val="none" w:sz="0" w:space="0" w:color="auto"/>
        <w:left w:val="none" w:sz="0" w:space="0" w:color="auto"/>
        <w:bottom w:val="none" w:sz="0" w:space="0" w:color="auto"/>
        <w:right w:val="none" w:sz="0" w:space="0" w:color="auto"/>
      </w:divBdr>
      <w:divsChild>
        <w:div w:id="642781106">
          <w:marLeft w:val="0"/>
          <w:marRight w:val="0"/>
          <w:marTop w:val="0"/>
          <w:marBottom w:val="0"/>
          <w:divBdr>
            <w:top w:val="none" w:sz="0" w:space="0" w:color="auto"/>
            <w:left w:val="none" w:sz="0" w:space="0" w:color="auto"/>
            <w:bottom w:val="none" w:sz="0" w:space="0" w:color="auto"/>
            <w:right w:val="none" w:sz="0" w:space="0" w:color="auto"/>
          </w:divBdr>
        </w:div>
        <w:div w:id="747271756">
          <w:marLeft w:val="0"/>
          <w:marRight w:val="0"/>
          <w:marTop w:val="0"/>
          <w:marBottom w:val="0"/>
          <w:divBdr>
            <w:top w:val="none" w:sz="0" w:space="0" w:color="auto"/>
            <w:left w:val="none" w:sz="0" w:space="0" w:color="auto"/>
            <w:bottom w:val="none" w:sz="0" w:space="0" w:color="auto"/>
            <w:right w:val="none" w:sz="0" w:space="0" w:color="auto"/>
          </w:divBdr>
        </w:div>
        <w:div w:id="2143494368">
          <w:marLeft w:val="0"/>
          <w:marRight w:val="0"/>
          <w:marTop w:val="0"/>
          <w:marBottom w:val="0"/>
          <w:divBdr>
            <w:top w:val="none" w:sz="0" w:space="0" w:color="auto"/>
            <w:left w:val="none" w:sz="0" w:space="0" w:color="auto"/>
            <w:bottom w:val="none" w:sz="0" w:space="0" w:color="auto"/>
            <w:right w:val="none" w:sz="0" w:space="0" w:color="auto"/>
          </w:divBdr>
        </w:div>
        <w:div w:id="996226339">
          <w:marLeft w:val="0"/>
          <w:marRight w:val="0"/>
          <w:marTop w:val="0"/>
          <w:marBottom w:val="0"/>
          <w:divBdr>
            <w:top w:val="none" w:sz="0" w:space="0" w:color="auto"/>
            <w:left w:val="none" w:sz="0" w:space="0" w:color="auto"/>
            <w:bottom w:val="none" w:sz="0" w:space="0" w:color="auto"/>
            <w:right w:val="none" w:sz="0" w:space="0" w:color="auto"/>
          </w:divBdr>
        </w:div>
        <w:div w:id="663705348">
          <w:marLeft w:val="0"/>
          <w:marRight w:val="0"/>
          <w:marTop w:val="0"/>
          <w:marBottom w:val="0"/>
          <w:divBdr>
            <w:top w:val="none" w:sz="0" w:space="0" w:color="auto"/>
            <w:left w:val="none" w:sz="0" w:space="0" w:color="auto"/>
            <w:bottom w:val="none" w:sz="0" w:space="0" w:color="auto"/>
            <w:right w:val="none" w:sz="0" w:space="0" w:color="auto"/>
          </w:divBdr>
        </w:div>
        <w:div w:id="1432161906">
          <w:marLeft w:val="0"/>
          <w:marRight w:val="0"/>
          <w:marTop w:val="0"/>
          <w:marBottom w:val="0"/>
          <w:divBdr>
            <w:top w:val="none" w:sz="0" w:space="0" w:color="auto"/>
            <w:left w:val="none" w:sz="0" w:space="0" w:color="auto"/>
            <w:bottom w:val="none" w:sz="0" w:space="0" w:color="auto"/>
            <w:right w:val="none" w:sz="0" w:space="0" w:color="auto"/>
          </w:divBdr>
        </w:div>
        <w:div w:id="900796259">
          <w:marLeft w:val="0"/>
          <w:marRight w:val="0"/>
          <w:marTop w:val="0"/>
          <w:marBottom w:val="0"/>
          <w:divBdr>
            <w:top w:val="none" w:sz="0" w:space="0" w:color="auto"/>
            <w:left w:val="none" w:sz="0" w:space="0" w:color="auto"/>
            <w:bottom w:val="none" w:sz="0" w:space="0" w:color="auto"/>
            <w:right w:val="none" w:sz="0" w:space="0" w:color="auto"/>
          </w:divBdr>
        </w:div>
      </w:divsChild>
    </w:div>
    <w:div w:id="1339234753">
      <w:bodyDiv w:val="1"/>
      <w:marLeft w:val="0"/>
      <w:marRight w:val="0"/>
      <w:marTop w:val="0"/>
      <w:marBottom w:val="0"/>
      <w:divBdr>
        <w:top w:val="none" w:sz="0" w:space="0" w:color="auto"/>
        <w:left w:val="none" w:sz="0" w:space="0" w:color="auto"/>
        <w:bottom w:val="none" w:sz="0" w:space="0" w:color="auto"/>
        <w:right w:val="none" w:sz="0" w:space="0" w:color="auto"/>
      </w:divBdr>
      <w:divsChild>
        <w:div w:id="693532625">
          <w:marLeft w:val="0"/>
          <w:marRight w:val="0"/>
          <w:marTop w:val="0"/>
          <w:marBottom w:val="0"/>
          <w:divBdr>
            <w:top w:val="none" w:sz="0" w:space="0" w:color="auto"/>
            <w:left w:val="none" w:sz="0" w:space="0" w:color="auto"/>
            <w:bottom w:val="none" w:sz="0" w:space="0" w:color="auto"/>
            <w:right w:val="none" w:sz="0" w:space="0" w:color="auto"/>
          </w:divBdr>
        </w:div>
        <w:div w:id="857235580">
          <w:marLeft w:val="0"/>
          <w:marRight w:val="0"/>
          <w:marTop w:val="0"/>
          <w:marBottom w:val="0"/>
          <w:divBdr>
            <w:top w:val="none" w:sz="0" w:space="0" w:color="auto"/>
            <w:left w:val="none" w:sz="0" w:space="0" w:color="auto"/>
            <w:bottom w:val="none" w:sz="0" w:space="0" w:color="auto"/>
            <w:right w:val="none" w:sz="0" w:space="0" w:color="auto"/>
          </w:divBdr>
        </w:div>
        <w:div w:id="661547872">
          <w:marLeft w:val="0"/>
          <w:marRight w:val="0"/>
          <w:marTop w:val="0"/>
          <w:marBottom w:val="0"/>
          <w:divBdr>
            <w:top w:val="none" w:sz="0" w:space="0" w:color="auto"/>
            <w:left w:val="none" w:sz="0" w:space="0" w:color="auto"/>
            <w:bottom w:val="none" w:sz="0" w:space="0" w:color="auto"/>
            <w:right w:val="none" w:sz="0" w:space="0" w:color="auto"/>
          </w:divBdr>
        </w:div>
        <w:div w:id="1563440042">
          <w:marLeft w:val="0"/>
          <w:marRight w:val="0"/>
          <w:marTop w:val="0"/>
          <w:marBottom w:val="0"/>
          <w:divBdr>
            <w:top w:val="none" w:sz="0" w:space="0" w:color="auto"/>
            <w:left w:val="none" w:sz="0" w:space="0" w:color="auto"/>
            <w:bottom w:val="none" w:sz="0" w:space="0" w:color="auto"/>
            <w:right w:val="none" w:sz="0" w:space="0" w:color="auto"/>
          </w:divBdr>
        </w:div>
        <w:div w:id="521750355">
          <w:marLeft w:val="0"/>
          <w:marRight w:val="0"/>
          <w:marTop w:val="0"/>
          <w:marBottom w:val="0"/>
          <w:divBdr>
            <w:top w:val="none" w:sz="0" w:space="0" w:color="auto"/>
            <w:left w:val="none" w:sz="0" w:space="0" w:color="auto"/>
            <w:bottom w:val="none" w:sz="0" w:space="0" w:color="auto"/>
            <w:right w:val="none" w:sz="0" w:space="0" w:color="auto"/>
          </w:divBdr>
          <w:divsChild>
            <w:div w:id="459153309">
              <w:marLeft w:val="0"/>
              <w:marRight w:val="0"/>
              <w:marTop w:val="0"/>
              <w:marBottom w:val="0"/>
              <w:divBdr>
                <w:top w:val="none" w:sz="0" w:space="0" w:color="auto"/>
                <w:left w:val="none" w:sz="0" w:space="0" w:color="auto"/>
                <w:bottom w:val="none" w:sz="0" w:space="0" w:color="auto"/>
                <w:right w:val="none" w:sz="0" w:space="0" w:color="auto"/>
              </w:divBdr>
            </w:div>
            <w:div w:id="1285312930">
              <w:marLeft w:val="0"/>
              <w:marRight w:val="0"/>
              <w:marTop w:val="0"/>
              <w:marBottom w:val="0"/>
              <w:divBdr>
                <w:top w:val="none" w:sz="0" w:space="0" w:color="auto"/>
                <w:left w:val="none" w:sz="0" w:space="0" w:color="auto"/>
                <w:bottom w:val="none" w:sz="0" w:space="0" w:color="auto"/>
                <w:right w:val="none" w:sz="0" w:space="0" w:color="auto"/>
              </w:divBdr>
            </w:div>
            <w:div w:id="199900103">
              <w:marLeft w:val="0"/>
              <w:marRight w:val="0"/>
              <w:marTop w:val="0"/>
              <w:marBottom w:val="0"/>
              <w:divBdr>
                <w:top w:val="none" w:sz="0" w:space="0" w:color="auto"/>
                <w:left w:val="none" w:sz="0" w:space="0" w:color="auto"/>
                <w:bottom w:val="none" w:sz="0" w:space="0" w:color="auto"/>
                <w:right w:val="none" w:sz="0" w:space="0" w:color="auto"/>
              </w:divBdr>
            </w:div>
            <w:div w:id="121296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2186">
      <w:bodyDiv w:val="1"/>
      <w:marLeft w:val="0"/>
      <w:marRight w:val="0"/>
      <w:marTop w:val="0"/>
      <w:marBottom w:val="0"/>
      <w:divBdr>
        <w:top w:val="none" w:sz="0" w:space="0" w:color="auto"/>
        <w:left w:val="none" w:sz="0" w:space="0" w:color="auto"/>
        <w:bottom w:val="none" w:sz="0" w:space="0" w:color="auto"/>
        <w:right w:val="none" w:sz="0" w:space="0" w:color="auto"/>
      </w:divBdr>
      <w:divsChild>
        <w:div w:id="688796477">
          <w:marLeft w:val="0"/>
          <w:marRight w:val="0"/>
          <w:marTop w:val="0"/>
          <w:marBottom w:val="0"/>
          <w:divBdr>
            <w:top w:val="none" w:sz="0" w:space="0" w:color="auto"/>
            <w:left w:val="none" w:sz="0" w:space="0" w:color="auto"/>
            <w:bottom w:val="none" w:sz="0" w:space="0" w:color="auto"/>
            <w:right w:val="none" w:sz="0" w:space="0" w:color="auto"/>
          </w:divBdr>
        </w:div>
        <w:div w:id="947927470">
          <w:marLeft w:val="0"/>
          <w:marRight w:val="0"/>
          <w:marTop w:val="0"/>
          <w:marBottom w:val="0"/>
          <w:divBdr>
            <w:top w:val="none" w:sz="0" w:space="0" w:color="auto"/>
            <w:left w:val="none" w:sz="0" w:space="0" w:color="auto"/>
            <w:bottom w:val="none" w:sz="0" w:space="0" w:color="auto"/>
            <w:right w:val="none" w:sz="0" w:space="0" w:color="auto"/>
          </w:divBdr>
        </w:div>
      </w:divsChild>
    </w:div>
    <w:div w:id="1863666620">
      <w:bodyDiv w:val="1"/>
      <w:marLeft w:val="0"/>
      <w:marRight w:val="0"/>
      <w:marTop w:val="0"/>
      <w:marBottom w:val="0"/>
      <w:divBdr>
        <w:top w:val="none" w:sz="0" w:space="0" w:color="auto"/>
        <w:left w:val="none" w:sz="0" w:space="0" w:color="auto"/>
        <w:bottom w:val="none" w:sz="0" w:space="0" w:color="auto"/>
        <w:right w:val="none" w:sz="0" w:space="0" w:color="auto"/>
      </w:divBdr>
      <w:divsChild>
        <w:div w:id="1797021251">
          <w:marLeft w:val="0"/>
          <w:marRight w:val="0"/>
          <w:marTop w:val="0"/>
          <w:marBottom w:val="0"/>
          <w:divBdr>
            <w:top w:val="none" w:sz="0" w:space="0" w:color="auto"/>
            <w:left w:val="none" w:sz="0" w:space="0" w:color="auto"/>
            <w:bottom w:val="none" w:sz="0" w:space="0" w:color="auto"/>
            <w:right w:val="none" w:sz="0" w:space="0" w:color="auto"/>
          </w:divBdr>
        </w:div>
        <w:div w:id="1556814907">
          <w:marLeft w:val="0"/>
          <w:marRight w:val="0"/>
          <w:marTop w:val="0"/>
          <w:marBottom w:val="0"/>
          <w:divBdr>
            <w:top w:val="none" w:sz="0" w:space="0" w:color="auto"/>
            <w:left w:val="none" w:sz="0" w:space="0" w:color="auto"/>
            <w:bottom w:val="none" w:sz="0" w:space="0" w:color="auto"/>
            <w:right w:val="none" w:sz="0" w:space="0" w:color="auto"/>
          </w:divBdr>
        </w:div>
        <w:div w:id="633413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FEEC6-DC13-4A30-B83D-EEDF60FA0B12}">
  <ds:schemaRefs>
    <ds:schemaRef ds:uri="http://schemas.microsoft.com/sharepoint/v3/contenttype/forms"/>
  </ds:schemaRefs>
</ds:datastoreItem>
</file>

<file path=customXml/itemProps2.xml><?xml version="1.0" encoding="utf-8"?>
<ds:datastoreItem xmlns:ds="http://schemas.openxmlformats.org/officeDocument/2006/customXml" ds:itemID="{9B1FCE70-01DB-489C-B77B-4E13670DD2C3}"/>
</file>

<file path=customXml/itemProps3.xml><?xml version="1.0" encoding="utf-8"?>
<ds:datastoreItem xmlns:ds="http://schemas.openxmlformats.org/officeDocument/2006/customXml" ds:itemID="{B594BEF1-45F0-4ED2-9A8B-A2BF4A919052}">
  <ds:schemaRefs>
    <ds:schemaRef ds:uri="http://schemas.microsoft.com/office/2006/metadata/properties"/>
    <ds:schemaRef ds:uri="http://schemas.microsoft.com/office/infopath/2007/PartnerControls"/>
    <ds:schemaRef ds:uri="c63c43ad-df6d-4edb-952e-52d68d1e73bf"/>
  </ds:schemaRefs>
</ds:datastoreItem>
</file>

<file path=customXml/itemProps4.xml><?xml version="1.0" encoding="utf-8"?>
<ds:datastoreItem xmlns:ds="http://schemas.openxmlformats.org/officeDocument/2006/customXml" ds:itemID="{869F8288-56D2-4E00-BA99-EA4010DC4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3310</Words>
  <Characters>18873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Neish</dc:creator>
  <cp:keywords/>
  <dc:description/>
  <cp:lastModifiedBy>Diane McGill</cp:lastModifiedBy>
  <cp:revision>5</cp:revision>
  <dcterms:created xsi:type="dcterms:W3CDTF">2025-04-27T10:49:00Z</dcterms:created>
  <dcterms:modified xsi:type="dcterms:W3CDTF">2025-10-09T14:48:00Z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