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7CF" w:rsidRPr="00B604D1" w:rsidRDefault="00EC47CF" w:rsidP="005448D5">
      <w:pPr>
        <w:spacing w:after="0" w:line="240" w:lineRule="auto"/>
        <w:jc w:val="right"/>
        <w:rPr>
          <w:rFonts w:ascii="Calibri" w:eastAsia="Times New Roman" w:hAnsi="Calibri" w:cs="Times New Roman"/>
          <w:sz w:val="24"/>
          <w:szCs w:val="24"/>
          <w:lang w:eastAsia="en-GB"/>
        </w:rPr>
      </w:pPr>
    </w:p>
    <w:tbl>
      <w:tblPr>
        <w:tblpPr w:leftFromText="180" w:rightFromText="180" w:vertAnchor="page" w:horzAnchor="margin" w:tblpY="21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3"/>
        <w:gridCol w:w="2339"/>
        <w:gridCol w:w="2334"/>
      </w:tblGrid>
      <w:tr w:rsidR="00EC47CF" w:rsidRPr="00166531" w:rsidTr="0011040B">
        <w:trPr>
          <w:trHeight w:val="274"/>
        </w:trPr>
        <w:tc>
          <w:tcPr>
            <w:tcW w:w="9067" w:type="dxa"/>
            <w:gridSpan w:val="4"/>
            <w:shd w:val="clear" w:color="auto" w:fill="auto"/>
          </w:tcPr>
          <w:p w:rsidR="00EC47CF" w:rsidRPr="00166531" w:rsidRDefault="00EC47CF" w:rsidP="005B1FB5">
            <w:pPr>
              <w:spacing w:after="0" w:line="240" w:lineRule="auto"/>
              <w:jc w:val="center"/>
              <w:rPr>
                <w:rFonts w:ascii="Calibri" w:eastAsia="Times New Roman" w:hAnsi="Calibri" w:cs="Times New Roman"/>
                <w:b/>
                <w:lang w:eastAsia="en-GB"/>
              </w:rPr>
            </w:pPr>
            <w:r w:rsidRPr="00166531">
              <w:rPr>
                <w:rFonts w:ascii="Calibri" w:eastAsia="Times New Roman" w:hAnsi="Calibri" w:cs="Times New Roman"/>
                <w:b/>
                <w:color w:val="FF0000"/>
                <w:lang w:eastAsia="en-GB"/>
              </w:rPr>
              <w:t>FOR DISCUS</w:t>
            </w:r>
            <w:r w:rsidR="000A0D09" w:rsidRPr="00166531">
              <w:rPr>
                <w:rFonts w:ascii="Calibri" w:eastAsia="Times New Roman" w:hAnsi="Calibri" w:cs="Times New Roman"/>
                <w:b/>
                <w:color w:val="FF0000"/>
                <w:lang w:eastAsia="en-GB"/>
              </w:rPr>
              <w:t>S</w:t>
            </w:r>
            <w:r w:rsidRPr="00166531">
              <w:rPr>
                <w:rFonts w:ascii="Calibri" w:eastAsia="Times New Roman" w:hAnsi="Calibri" w:cs="Times New Roman"/>
                <w:b/>
                <w:color w:val="FF0000"/>
                <w:lang w:eastAsia="en-GB"/>
              </w:rPr>
              <w:t xml:space="preserve">ION/INFORMATION </w:t>
            </w:r>
          </w:p>
        </w:tc>
      </w:tr>
      <w:tr w:rsidR="00EC47CF" w:rsidRPr="00166531" w:rsidTr="0011040B">
        <w:tc>
          <w:tcPr>
            <w:tcW w:w="9067" w:type="dxa"/>
            <w:gridSpan w:val="4"/>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 xml:space="preserve">Meeting:                     </w:t>
            </w:r>
            <w:r w:rsidRPr="00166531">
              <w:rPr>
                <w:rFonts w:ascii="Calibri" w:eastAsia="Times New Roman" w:hAnsi="Calibri" w:cs="Times New Roman"/>
                <w:b/>
                <w:lang w:eastAsia="en-GB"/>
              </w:rPr>
              <w:t>Curriculum and Student Affairs and Outcome</w:t>
            </w: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Presented by</w:t>
            </w:r>
          </w:p>
        </w:tc>
        <w:tc>
          <w:tcPr>
            <w:tcW w:w="7116" w:type="dxa"/>
            <w:gridSpan w:val="3"/>
            <w:shd w:val="clear" w:color="auto" w:fill="auto"/>
          </w:tcPr>
          <w:p w:rsidR="00EC47CF" w:rsidRPr="0011040B" w:rsidRDefault="00972567" w:rsidP="005B1FB5">
            <w:pPr>
              <w:spacing w:after="0" w:line="240" w:lineRule="auto"/>
              <w:rPr>
                <w:rFonts w:ascii="Calibri" w:eastAsia="Times New Roman" w:hAnsi="Calibri" w:cs="Times New Roman"/>
                <w:b/>
                <w:lang w:eastAsia="en-GB"/>
              </w:rPr>
            </w:pPr>
            <w:r>
              <w:rPr>
                <w:rFonts w:ascii="Calibri" w:eastAsia="Times New Roman" w:hAnsi="Calibri" w:cs="Times New Roman"/>
                <w:b/>
                <w:lang w:eastAsia="en-GB"/>
              </w:rPr>
              <w:t>Alan Moffat</w:t>
            </w: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Author/Contact</w:t>
            </w:r>
          </w:p>
        </w:tc>
        <w:tc>
          <w:tcPr>
            <w:tcW w:w="2443" w:type="dxa"/>
            <w:shd w:val="clear" w:color="auto" w:fill="auto"/>
          </w:tcPr>
          <w:p w:rsidR="00EC47CF" w:rsidRPr="0011040B" w:rsidRDefault="00972567" w:rsidP="005B1FB5">
            <w:pPr>
              <w:spacing w:after="0" w:line="240" w:lineRule="auto"/>
              <w:rPr>
                <w:rFonts w:ascii="Calibri" w:eastAsia="Times New Roman" w:hAnsi="Calibri" w:cs="Times New Roman"/>
                <w:b/>
                <w:lang w:eastAsia="en-GB"/>
              </w:rPr>
            </w:pPr>
            <w:r>
              <w:rPr>
                <w:rFonts w:ascii="Calibri" w:eastAsia="Times New Roman" w:hAnsi="Calibri" w:cs="Times New Roman"/>
                <w:b/>
                <w:lang w:eastAsia="en-GB"/>
              </w:rPr>
              <w:t>Alan Moffat</w:t>
            </w:r>
          </w:p>
        </w:tc>
        <w:tc>
          <w:tcPr>
            <w:tcW w:w="2339"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Department / Unit</w:t>
            </w:r>
          </w:p>
        </w:tc>
        <w:tc>
          <w:tcPr>
            <w:tcW w:w="2334" w:type="dxa"/>
            <w:shd w:val="clear" w:color="auto" w:fill="auto"/>
          </w:tcPr>
          <w:p w:rsidR="00EC47CF" w:rsidRPr="0011040B" w:rsidRDefault="0014116B" w:rsidP="005B1FB5">
            <w:pPr>
              <w:spacing w:after="0" w:line="240" w:lineRule="auto"/>
              <w:rPr>
                <w:rFonts w:ascii="Calibri" w:eastAsia="Times New Roman" w:hAnsi="Calibri" w:cs="Times New Roman"/>
                <w:b/>
                <w:lang w:eastAsia="en-GB"/>
              </w:rPr>
            </w:pPr>
            <w:r w:rsidRPr="0011040B">
              <w:rPr>
                <w:rFonts w:ascii="Calibri" w:eastAsia="Times New Roman" w:hAnsi="Calibri" w:cs="Times New Roman"/>
                <w:b/>
                <w:lang w:eastAsia="en-GB"/>
              </w:rPr>
              <w:t xml:space="preserve">Executive </w:t>
            </w: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Date Created</w:t>
            </w:r>
          </w:p>
        </w:tc>
        <w:tc>
          <w:tcPr>
            <w:tcW w:w="2443" w:type="dxa"/>
            <w:shd w:val="clear" w:color="auto" w:fill="auto"/>
          </w:tcPr>
          <w:p w:rsidR="00EC47CF" w:rsidRPr="0011040B" w:rsidRDefault="0010770F" w:rsidP="005B1FB5">
            <w:pPr>
              <w:spacing w:after="0" w:line="240" w:lineRule="auto"/>
              <w:rPr>
                <w:rFonts w:ascii="Calibri" w:eastAsia="Times New Roman" w:hAnsi="Calibri" w:cs="Arial"/>
                <w:b/>
                <w:lang w:eastAsia="en-GB"/>
              </w:rPr>
            </w:pPr>
            <w:r>
              <w:rPr>
                <w:rFonts w:ascii="Calibri" w:eastAsia="Times New Roman" w:hAnsi="Calibri" w:cs="Arial"/>
                <w:b/>
                <w:lang w:eastAsia="en-GB"/>
              </w:rPr>
              <w:t>25/10/</w:t>
            </w:r>
            <w:r w:rsidR="00CE5A1D" w:rsidRPr="0011040B">
              <w:rPr>
                <w:rFonts w:ascii="Calibri" w:eastAsia="Times New Roman" w:hAnsi="Calibri" w:cs="Arial"/>
                <w:b/>
                <w:lang w:eastAsia="en-GB"/>
              </w:rPr>
              <w:t>2024</w:t>
            </w:r>
          </w:p>
        </w:tc>
        <w:tc>
          <w:tcPr>
            <w:tcW w:w="2339"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Telephone</w:t>
            </w:r>
          </w:p>
        </w:tc>
        <w:tc>
          <w:tcPr>
            <w:tcW w:w="2334" w:type="dxa"/>
            <w:shd w:val="clear" w:color="auto" w:fill="auto"/>
          </w:tcPr>
          <w:p w:rsidR="00EC47CF" w:rsidRPr="0011040B" w:rsidRDefault="00EC47CF" w:rsidP="005B1FB5">
            <w:pPr>
              <w:spacing w:after="0" w:line="240" w:lineRule="auto"/>
              <w:rPr>
                <w:rFonts w:ascii="Calibri" w:eastAsia="Times New Roman" w:hAnsi="Calibri" w:cs="Arial"/>
                <w:b/>
                <w:lang w:eastAsia="en-GB"/>
              </w:rPr>
            </w:pP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Appendices Attached</w:t>
            </w:r>
          </w:p>
        </w:tc>
        <w:tc>
          <w:tcPr>
            <w:tcW w:w="7116" w:type="dxa"/>
            <w:gridSpan w:val="3"/>
            <w:shd w:val="clear" w:color="auto" w:fill="auto"/>
          </w:tcPr>
          <w:p w:rsidR="00EC47CF" w:rsidRPr="00166531" w:rsidRDefault="0010770F" w:rsidP="005B1FB5">
            <w:pPr>
              <w:rPr>
                <w:rFonts w:ascii="Calibri" w:eastAsia="Times New Roman" w:hAnsi="Calibri" w:cs="Arial"/>
                <w:b/>
                <w:lang w:eastAsia="en-GB"/>
              </w:rPr>
            </w:pPr>
            <w:r>
              <w:rPr>
                <w:rFonts w:ascii="Calibri" w:eastAsia="Times New Roman" w:hAnsi="Calibri" w:cs="Arial"/>
                <w:b/>
                <w:lang w:eastAsia="en-GB"/>
              </w:rPr>
              <w:t>2</w:t>
            </w:r>
          </w:p>
        </w:tc>
      </w:tr>
      <w:tr w:rsidR="00EC47CF" w:rsidRPr="00166531" w:rsidTr="0011040B">
        <w:trPr>
          <w:trHeight w:val="325"/>
        </w:trPr>
        <w:tc>
          <w:tcPr>
            <w:tcW w:w="4394" w:type="dxa"/>
            <w:gridSpan w:val="2"/>
            <w:shd w:val="clear" w:color="auto" w:fill="auto"/>
          </w:tcPr>
          <w:p w:rsidR="00EC47CF" w:rsidRPr="00166531" w:rsidRDefault="00EC47CF" w:rsidP="005B1FB5">
            <w:pPr>
              <w:tabs>
                <w:tab w:val="left" w:pos="1710"/>
              </w:tabs>
              <w:spacing w:after="0" w:line="240" w:lineRule="auto"/>
              <w:ind w:left="1512" w:hanging="1512"/>
              <w:rPr>
                <w:rFonts w:ascii="Calibri" w:eastAsia="Times New Roman" w:hAnsi="Calibri" w:cs="Times New Roman"/>
                <w:lang w:eastAsia="en-GB"/>
              </w:rPr>
            </w:pPr>
            <w:r w:rsidRPr="00166531">
              <w:rPr>
                <w:rFonts w:ascii="Calibri" w:eastAsia="Times New Roman" w:hAnsi="Calibri" w:cs="Times New Roman"/>
                <w:lang w:eastAsia="en-GB"/>
              </w:rPr>
              <w:t>Disclosable under FOISA</w:t>
            </w:r>
          </w:p>
        </w:tc>
        <w:tc>
          <w:tcPr>
            <w:tcW w:w="4673" w:type="dxa"/>
            <w:gridSpan w:val="2"/>
            <w:shd w:val="clear" w:color="auto" w:fill="auto"/>
          </w:tcPr>
          <w:p w:rsidR="00EC47CF" w:rsidRPr="00166531" w:rsidRDefault="00EC47CF" w:rsidP="005B1FB5">
            <w:pPr>
              <w:tabs>
                <w:tab w:val="left" w:pos="1710"/>
              </w:tabs>
              <w:spacing w:after="0" w:line="240" w:lineRule="auto"/>
              <w:ind w:left="1512" w:hanging="1512"/>
              <w:rPr>
                <w:rFonts w:ascii="Calibri" w:eastAsia="Times New Roman" w:hAnsi="Calibri" w:cs="Times New Roman"/>
                <w:b/>
                <w:lang w:eastAsia="en-GB"/>
              </w:rPr>
            </w:pPr>
            <w:r w:rsidRPr="00166531">
              <w:rPr>
                <w:rFonts w:ascii="Calibri" w:eastAsia="Times New Roman" w:hAnsi="Calibri" w:cs="Times New Roman"/>
                <w:b/>
                <w:lang w:eastAsia="en-GB"/>
              </w:rPr>
              <w:t>Yes</w:t>
            </w:r>
          </w:p>
        </w:tc>
      </w:tr>
    </w:tbl>
    <w:p w:rsidR="0086049E" w:rsidRPr="00166531" w:rsidRDefault="0086049E" w:rsidP="00CE5A1D">
      <w:pPr>
        <w:spacing w:after="0" w:line="240" w:lineRule="auto"/>
        <w:jc w:val="both"/>
        <w:rPr>
          <w:rFonts w:ascii="Calibri" w:eastAsia="Times New Roman" w:hAnsi="Calibri" w:cs="Arial"/>
          <w:b/>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PURPOSE</w:t>
      </w:r>
    </w:p>
    <w:p w:rsidR="00730CC8" w:rsidRPr="00166531" w:rsidRDefault="0011040B" w:rsidP="0011040B">
      <w:pPr>
        <w:spacing w:after="0" w:line="240" w:lineRule="auto"/>
        <w:ind w:left="567" w:hanging="567"/>
        <w:jc w:val="both"/>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To update CSAO on </w:t>
      </w:r>
      <w:r w:rsidR="00972567">
        <w:rPr>
          <w:rFonts w:ascii="Calibri" w:eastAsia="Times New Roman" w:hAnsi="Calibri" w:cs="Arial"/>
          <w:lang w:eastAsia="en-GB"/>
        </w:rPr>
        <w:t>SFC/QAA plans for Quality Enhancement for the Tertiary Sector</w:t>
      </w:r>
    </w:p>
    <w:p w:rsidR="00EC47CF" w:rsidRPr="00166531" w:rsidRDefault="00EC47CF" w:rsidP="0011040B">
      <w:pPr>
        <w:spacing w:after="0" w:line="240" w:lineRule="auto"/>
        <w:ind w:left="567" w:hanging="567"/>
        <w:jc w:val="both"/>
        <w:rPr>
          <w:rFonts w:ascii="Calibri" w:eastAsia="Times New Roman" w:hAnsi="Calibri" w:cs="Arial"/>
          <w:sz w:val="16"/>
          <w:szCs w:val="16"/>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BACKGROUND</w:t>
      </w:r>
    </w:p>
    <w:p w:rsidR="00730CC8" w:rsidRPr="00166531" w:rsidRDefault="0011040B" w:rsidP="0011040B">
      <w:pPr>
        <w:spacing w:after="0" w:line="240" w:lineRule="auto"/>
        <w:ind w:left="567" w:hanging="567"/>
        <w:jc w:val="both"/>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Report provided to CSAO </w:t>
      </w:r>
      <w:r w:rsidR="00972567">
        <w:rPr>
          <w:rFonts w:ascii="Calibri" w:eastAsia="Times New Roman" w:hAnsi="Calibri" w:cs="Arial"/>
          <w:lang w:eastAsia="en-GB"/>
        </w:rPr>
        <w:t xml:space="preserve">provides </w:t>
      </w:r>
      <w:r w:rsidR="00730CC8" w:rsidRPr="00166531">
        <w:rPr>
          <w:rFonts w:ascii="Calibri" w:eastAsia="Times New Roman" w:hAnsi="Calibri" w:cs="Arial"/>
          <w:lang w:eastAsia="en-GB"/>
        </w:rPr>
        <w:t xml:space="preserve">update on </w:t>
      </w:r>
      <w:r w:rsidR="00972567">
        <w:rPr>
          <w:rFonts w:ascii="Calibri" w:eastAsia="Times New Roman" w:hAnsi="Calibri" w:cs="Arial"/>
          <w:lang w:eastAsia="en-GB"/>
        </w:rPr>
        <w:t xml:space="preserve">how QE and reporting is </w:t>
      </w:r>
      <w:r w:rsidR="00730CC8" w:rsidRPr="00166531">
        <w:rPr>
          <w:rFonts w:ascii="Calibri" w:eastAsia="Times New Roman" w:hAnsi="Calibri" w:cs="Arial"/>
          <w:lang w:eastAsia="en-GB"/>
        </w:rPr>
        <w:t>progress</w:t>
      </w:r>
      <w:r w:rsidR="00972567">
        <w:rPr>
          <w:rFonts w:ascii="Calibri" w:eastAsia="Times New Roman" w:hAnsi="Calibri" w:cs="Arial"/>
          <w:lang w:eastAsia="en-GB"/>
        </w:rPr>
        <w:t xml:space="preserve">ing Nationally and how </w:t>
      </w:r>
      <w:proofErr w:type="gramStart"/>
      <w:r w:rsidR="00972567">
        <w:rPr>
          <w:rFonts w:ascii="Calibri" w:eastAsia="Times New Roman" w:hAnsi="Calibri" w:cs="Arial"/>
          <w:lang w:eastAsia="en-GB"/>
        </w:rPr>
        <w:t>this impacts</w:t>
      </w:r>
      <w:proofErr w:type="gramEnd"/>
      <w:r w:rsidR="00972567">
        <w:rPr>
          <w:rFonts w:ascii="Calibri" w:eastAsia="Times New Roman" w:hAnsi="Calibri" w:cs="Arial"/>
          <w:lang w:eastAsia="en-GB"/>
        </w:rPr>
        <w:t xml:space="preserve"> on NCL position</w:t>
      </w:r>
      <w:r w:rsidR="00730CC8" w:rsidRPr="00166531">
        <w:rPr>
          <w:rFonts w:ascii="Calibri" w:eastAsia="Times New Roman" w:hAnsi="Calibri" w:cs="Arial"/>
          <w:lang w:eastAsia="en-GB"/>
        </w:rPr>
        <w:t>.</w:t>
      </w:r>
    </w:p>
    <w:p w:rsidR="00EC47CF" w:rsidRPr="00166531" w:rsidRDefault="00EC47CF" w:rsidP="0011040B">
      <w:pPr>
        <w:spacing w:after="0" w:line="240" w:lineRule="auto"/>
        <w:ind w:left="567" w:hanging="567"/>
        <w:jc w:val="both"/>
        <w:rPr>
          <w:rFonts w:ascii="Calibri" w:eastAsia="Times New Roman" w:hAnsi="Calibri" w:cs="Arial"/>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DETAIL</w:t>
      </w:r>
    </w:p>
    <w:p w:rsidR="005B1FB5" w:rsidRDefault="0011040B" w:rsidP="0011040B">
      <w:pPr>
        <w:pStyle w:val="ListParagraph"/>
        <w:spacing w:after="0" w:line="240" w:lineRule="auto"/>
        <w:ind w:left="567" w:hanging="567"/>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The report includes </w:t>
      </w:r>
      <w:r w:rsidR="00972567">
        <w:rPr>
          <w:rFonts w:ascii="Calibri" w:eastAsia="Times New Roman" w:hAnsi="Calibri" w:cs="Arial"/>
          <w:lang w:eastAsia="en-GB"/>
        </w:rPr>
        <w:t>information on SFC/QAA TQEF process and NCL timelines</w:t>
      </w:r>
    </w:p>
    <w:p w:rsidR="0011040B" w:rsidRPr="00166531" w:rsidRDefault="0011040B" w:rsidP="0011040B">
      <w:pPr>
        <w:pStyle w:val="ListParagraph"/>
        <w:spacing w:after="0" w:line="240" w:lineRule="auto"/>
        <w:ind w:left="567" w:hanging="567"/>
        <w:rPr>
          <w:rFonts w:ascii="Calibri" w:eastAsia="Times New Roman" w:hAnsi="Calibri" w:cs="Arial"/>
          <w:lang w:eastAsia="en-GB"/>
        </w:rPr>
      </w:pPr>
    </w:p>
    <w:p w:rsidR="00EC47CF" w:rsidRPr="00166531" w:rsidRDefault="00EC47CF" w:rsidP="0011040B">
      <w:pPr>
        <w:numPr>
          <w:ilvl w:val="0"/>
          <w:numId w:val="2"/>
        </w:numPr>
        <w:tabs>
          <w:tab w:val="left" w:pos="709"/>
        </w:tabs>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 xml:space="preserve">BENEFITS AND OPPORTUNITIES  </w:t>
      </w:r>
    </w:p>
    <w:p w:rsidR="005B1FB5" w:rsidRDefault="0011040B" w:rsidP="00972567">
      <w:pPr>
        <w:tabs>
          <w:tab w:val="left" w:pos="709"/>
        </w:tabs>
        <w:spacing w:after="0" w:line="240" w:lineRule="auto"/>
        <w:ind w:left="567" w:hanging="567"/>
        <w:jc w:val="both"/>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This report illustrates the </w:t>
      </w:r>
      <w:r w:rsidR="00972567">
        <w:rPr>
          <w:rFonts w:ascii="Calibri" w:eastAsia="Times New Roman" w:hAnsi="Calibri" w:cs="Arial"/>
          <w:lang w:eastAsia="en-GB"/>
        </w:rPr>
        <w:t>importance of NCLs role within the sector to ensure that it provides public accountability and assurance on quality</w:t>
      </w:r>
    </w:p>
    <w:p w:rsidR="00972567" w:rsidRPr="00166531" w:rsidRDefault="00972567" w:rsidP="00972567">
      <w:pPr>
        <w:tabs>
          <w:tab w:val="left" w:pos="709"/>
        </w:tabs>
        <w:spacing w:after="0" w:line="240" w:lineRule="auto"/>
        <w:ind w:left="567" w:hanging="567"/>
        <w:jc w:val="both"/>
        <w:rPr>
          <w:rFonts w:ascii="Calibri" w:eastAsia="Times New Roman" w:hAnsi="Calibri" w:cs="Arial"/>
          <w:lang w:eastAsia="en-GB"/>
        </w:rPr>
      </w:pPr>
    </w:p>
    <w:p w:rsidR="00EC47CF" w:rsidRPr="00166531" w:rsidRDefault="00EC47CF" w:rsidP="0011040B">
      <w:pPr>
        <w:numPr>
          <w:ilvl w:val="0"/>
          <w:numId w:val="2"/>
        </w:numPr>
        <w:spacing w:after="0" w:line="240" w:lineRule="auto"/>
        <w:ind w:left="567" w:hanging="567"/>
        <w:rPr>
          <w:rFonts w:ascii="Calibri" w:eastAsia="Times New Roman" w:hAnsi="Calibri" w:cs="Arial"/>
          <w:lang w:eastAsia="en-GB"/>
        </w:rPr>
      </w:pPr>
      <w:r w:rsidRPr="00166531">
        <w:rPr>
          <w:rFonts w:ascii="Calibri" w:eastAsia="Times New Roman" w:hAnsi="Calibri" w:cs="Arial"/>
          <w:b/>
          <w:lang w:eastAsia="en-GB"/>
        </w:rPr>
        <w:t>STRATEGIC IMPLICATIONS</w:t>
      </w:r>
    </w:p>
    <w:p w:rsidR="00EC47CF" w:rsidRPr="00166531" w:rsidRDefault="0011040B" w:rsidP="0011040B">
      <w:pPr>
        <w:spacing w:after="0" w:line="240" w:lineRule="auto"/>
        <w:ind w:left="567" w:hanging="567"/>
        <w:rPr>
          <w:rFonts w:ascii="Calibri" w:eastAsia="Times New Roman" w:hAnsi="Calibri" w:cs="Arial"/>
          <w:sz w:val="16"/>
          <w:szCs w:val="16"/>
          <w:lang w:eastAsia="en-GB"/>
        </w:rPr>
      </w:pPr>
      <w:r>
        <w:rPr>
          <w:rFonts w:ascii="Calibri" w:eastAsia="Times New Roman" w:hAnsi="Calibri" w:cs="Arial"/>
          <w:lang w:eastAsia="en-GB"/>
        </w:rPr>
        <w:tab/>
      </w:r>
      <w:r w:rsidR="00EC47CF" w:rsidRPr="00166531">
        <w:rPr>
          <w:rFonts w:ascii="Calibri" w:eastAsia="Times New Roman" w:hAnsi="Calibri" w:cs="Arial"/>
          <w:lang w:eastAsia="en-GB"/>
        </w:rPr>
        <w:t xml:space="preserve">The Board retains an overview of NCL activity in the interests of good governance. </w:t>
      </w:r>
    </w:p>
    <w:p w:rsidR="00CE5A1D" w:rsidRPr="00166531" w:rsidRDefault="00E07560" w:rsidP="00E07560">
      <w:pPr>
        <w:tabs>
          <w:tab w:val="left" w:pos="3251"/>
        </w:tabs>
        <w:spacing w:after="0" w:line="240" w:lineRule="auto"/>
        <w:ind w:left="567" w:hanging="567"/>
        <w:rPr>
          <w:rFonts w:ascii="Calibri" w:eastAsia="Times New Roman" w:hAnsi="Calibri" w:cs="Arial"/>
          <w:sz w:val="16"/>
          <w:szCs w:val="16"/>
          <w:lang w:eastAsia="en-GB"/>
        </w:rPr>
      </w:pPr>
      <w:r>
        <w:rPr>
          <w:rFonts w:ascii="Calibri" w:eastAsia="Times New Roman" w:hAnsi="Calibri" w:cs="Arial"/>
          <w:sz w:val="16"/>
          <w:szCs w:val="16"/>
          <w:lang w:eastAsia="en-GB"/>
        </w:rPr>
        <w:tab/>
      </w:r>
      <w:r>
        <w:rPr>
          <w:rFonts w:ascii="Calibri" w:eastAsia="Times New Roman" w:hAnsi="Calibri" w:cs="Arial"/>
          <w:sz w:val="16"/>
          <w:szCs w:val="16"/>
          <w:lang w:eastAsia="en-GB"/>
        </w:rPr>
        <w:tab/>
      </w:r>
    </w:p>
    <w:p w:rsidR="00730CC8" w:rsidRPr="00166531"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166531">
        <w:rPr>
          <w:rFonts w:ascii="Calibri" w:eastAsia="Times New Roman" w:hAnsi="Calibri" w:cs="Arial"/>
          <w:b/>
          <w:lang w:eastAsia="en-GB"/>
        </w:rPr>
        <w:t>RISK</w:t>
      </w:r>
    </w:p>
    <w:p w:rsidR="00C9571C" w:rsidRPr="0011040B" w:rsidRDefault="00972567" w:rsidP="00972567">
      <w:pPr>
        <w:spacing w:after="0" w:line="240" w:lineRule="auto"/>
        <w:ind w:left="567" w:right="386"/>
        <w:outlineLvl w:val="0"/>
        <w:rPr>
          <w:rFonts w:ascii="Calibri" w:eastAsia="Times New Roman" w:hAnsi="Calibri" w:cs="Arial"/>
          <w:color w:val="000000"/>
          <w:lang w:eastAsia="en-GB"/>
        </w:rPr>
      </w:pPr>
      <w:r>
        <w:rPr>
          <w:rFonts w:ascii="Calibri" w:eastAsia="Times New Roman" w:hAnsi="Calibri" w:cs="Arial"/>
          <w:lang w:eastAsia="en-GB"/>
        </w:rPr>
        <w:t xml:space="preserve">SFC/QAA non-compliance and institutional reputational risk                                                                                                                              </w:t>
      </w:r>
      <w:r w:rsidR="00EC47CF" w:rsidRPr="0011040B">
        <w:rPr>
          <w:rFonts w:ascii="Calibri" w:eastAsia="Times New Roman" w:hAnsi="Calibri" w:cs="Arial"/>
          <w:lang w:eastAsia="en-GB"/>
        </w:rPr>
        <w:br/>
      </w:r>
    </w:p>
    <w:p w:rsidR="00EC47CF" w:rsidRPr="00166531"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166531">
        <w:rPr>
          <w:rFonts w:ascii="Calibri" w:eastAsia="Times New Roman" w:hAnsi="Calibri" w:cs="Arial"/>
          <w:b/>
          <w:color w:val="000000"/>
          <w:lang w:eastAsia="en-GB"/>
        </w:rPr>
        <w:t>FINANCIAL IMPLICATIONS</w:t>
      </w:r>
    </w:p>
    <w:p w:rsidR="00730CC8" w:rsidRPr="00166531" w:rsidRDefault="0011040B" w:rsidP="0011040B">
      <w:pPr>
        <w:spacing w:after="0" w:line="240" w:lineRule="auto"/>
        <w:ind w:left="567" w:right="-46" w:hanging="567"/>
        <w:jc w:val="both"/>
        <w:outlineLvl w:val="0"/>
        <w:rPr>
          <w:rFonts w:ascii="Calibri" w:eastAsia="Times New Roman" w:hAnsi="Calibri" w:cs="Arial"/>
          <w:color w:val="000000"/>
          <w:lang w:eastAsia="en-GB"/>
        </w:rPr>
      </w:pPr>
      <w:r>
        <w:rPr>
          <w:rFonts w:ascii="Calibri" w:eastAsia="Times New Roman" w:hAnsi="Calibri" w:cs="Arial"/>
          <w:color w:val="000000"/>
          <w:lang w:eastAsia="en-GB"/>
        </w:rPr>
        <w:tab/>
      </w:r>
      <w:r w:rsidR="00730CC8" w:rsidRPr="00166531">
        <w:rPr>
          <w:rFonts w:ascii="Calibri" w:eastAsia="Times New Roman" w:hAnsi="Calibri" w:cs="Arial"/>
          <w:color w:val="000000"/>
          <w:lang w:eastAsia="en-GB"/>
        </w:rPr>
        <w:t>Inability to achieve SFC credit targets could result in loss of income to New College Lanarkshire.</w:t>
      </w:r>
    </w:p>
    <w:p w:rsidR="005448D5" w:rsidRPr="00166531" w:rsidRDefault="005448D5" w:rsidP="0011040B">
      <w:pPr>
        <w:spacing w:after="0" w:line="240" w:lineRule="auto"/>
        <w:ind w:left="567" w:right="386" w:hanging="567"/>
        <w:jc w:val="both"/>
        <w:outlineLvl w:val="0"/>
        <w:rPr>
          <w:rFonts w:ascii="Calibri" w:eastAsia="Times New Roman" w:hAnsi="Calibri" w:cs="Arial"/>
          <w:color w:val="000000"/>
          <w:lang w:eastAsia="en-GB"/>
        </w:rPr>
      </w:pPr>
    </w:p>
    <w:p w:rsidR="00EC47CF" w:rsidRPr="00166531"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166531">
        <w:rPr>
          <w:rFonts w:ascii="Calibri" w:eastAsia="Times New Roman" w:hAnsi="Calibri" w:cs="Arial"/>
          <w:b/>
          <w:color w:val="000000"/>
          <w:lang w:eastAsia="en-GB"/>
        </w:rPr>
        <w:t>LEGAL IMPLICATIONS</w:t>
      </w:r>
    </w:p>
    <w:p w:rsidR="00EC47CF" w:rsidRPr="00E07560" w:rsidRDefault="00A22D8A" w:rsidP="00972567">
      <w:pPr>
        <w:spacing w:after="0" w:line="240" w:lineRule="auto"/>
        <w:ind w:left="567" w:right="386"/>
        <w:jc w:val="both"/>
        <w:rPr>
          <w:rFonts w:ascii="Calibri" w:eastAsia="Times New Roman" w:hAnsi="Calibri" w:cs="Arial"/>
          <w:sz w:val="16"/>
          <w:szCs w:val="16"/>
          <w:lang w:eastAsia="en-GB"/>
        </w:rPr>
      </w:pPr>
      <w:r w:rsidRPr="00E07560">
        <w:rPr>
          <w:rFonts w:ascii="Calibri" w:eastAsia="Times New Roman" w:hAnsi="Calibri" w:cs="Arial"/>
          <w:lang w:eastAsia="en-GB"/>
        </w:rPr>
        <w:t>There are no legal implications.</w:t>
      </w:r>
    </w:p>
    <w:p w:rsidR="00EC47CF" w:rsidRPr="00A22D8A" w:rsidRDefault="00EC47CF" w:rsidP="0011040B">
      <w:pPr>
        <w:spacing w:after="0" w:line="240" w:lineRule="auto"/>
        <w:ind w:left="567" w:right="386" w:hanging="567"/>
        <w:jc w:val="both"/>
        <w:rPr>
          <w:rFonts w:ascii="Calibri" w:eastAsia="Times New Roman" w:hAnsi="Calibri" w:cs="Arial"/>
          <w:color w:val="FF0000"/>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rPr>
      </w:pPr>
      <w:r w:rsidRPr="00166531">
        <w:rPr>
          <w:rFonts w:ascii="Calibri" w:eastAsia="Times New Roman" w:hAnsi="Calibri" w:cs="Arial"/>
          <w:b/>
        </w:rPr>
        <w:t>WORKFORCE IMPLICATIONS</w:t>
      </w:r>
    </w:p>
    <w:p w:rsidR="00730CC8" w:rsidRPr="00E07560" w:rsidRDefault="00A22D8A" w:rsidP="00972567">
      <w:pPr>
        <w:spacing w:after="0" w:line="240" w:lineRule="auto"/>
        <w:ind w:left="567"/>
        <w:jc w:val="both"/>
        <w:rPr>
          <w:rFonts w:ascii="Calibri" w:eastAsia="Times New Roman" w:hAnsi="Calibri" w:cs="Arial"/>
        </w:rPr>
      </w:pPr>
      <w:r w:rsidRPr="00E07560">
        <w:rPr>
          <w:rFonts w:ascii="Calibri" w:eastAsia="Times New Roman" w:hAnsi="Calibri" w:cs="Arial"/>
        </w:rPr>
        <w:t xml:space="preserve">Activity should be manageable within current staffing levels </w:t>
      </w:r>
    </w:p>
    <w:p w:rsidR="005B1FB5" w:rsidRPr="00166531" w:rsidRDefault="005B1FB5" w:rsidP="0011040B">
      <w:pPr>
        <w:spacing w:after="0" w:line="240" w:lineRule="auto"/>
        <w:ind w:left="567" w:hanging="567"/>
        <w:jc w:val="both"/>
        <w:rPr>
          <w:rFonts w:ascii="Calibri" w:eastAsia="Times New Roman" w:hAnsi="Calibri" w:cs="Arial"/>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rPr>
      </w:pPr>
      <w:r w:rsidRPr="00166531">
        <w:rPr>
          <w:rFonts w:ascii="Calibri" w:eastAsia="Times New Roman" w:hAnsi="Calibri" w:cs="Arial"/>
          <w:b/>
        </w:rPr>
        <w:t xml:space="preserve">REPUTATIONAL IMPLICATIONS </w:t>
      </w:r>
    </w:p>
    <w:p w:rsidR="00730CC8" w:rsidRPr="00166531" w:rsidRDefault="00972567" w:rsidP="00972567">
      <w:pPr>
        <w:spacing w:after="0" w:line="240" w:lineRule="auto"/>
        <w:ind w:left="567"/>
        <w:jc w:val="both"/>
        <w:rPr>
          <w:rFonts w:ascii="Calibri" w:eastAsia="Times New Roman" w:hAnsi="Calibri" w:cs="Arial"/>
        </w:rPr>
      </w:pPr>
      <w:r>
        <w:rPr>
          <w:rFonts w:ascii="Calibri" w:eastAsia="Times New Roman" w:hAnsi="Calibri" w:cs="Arial"/>
        </w:rPr>
        <w:t>Non-compliance and QAA sanctions</w:t>
      </w:r>
    </w:p>
    <w:p w:rsidR="005B1FB5" w:rsidRPr="00166531" w:rsidRDefault="005B1FB5" w:rsidP="0011040B">
      <w:pPr>
        <w:spacing w:after="0" w:line="240" w:lineRule="auto"/>
        <w:ind w:left="567" w:hanging="567"/>
        <w:jc w:val="both"/>
        <w:rPr>
          <w:rFonts w:ascii="Calibri" w:eastAsia="Times New Roman" w:hAnsi="Calibri" w:cs="Arial"/>
          <w: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color w:val="000000"/>
        </w:rPr>
      </w:pPr>
      <w:r w:rsidRPr="00166531">
        <w:rPr>
          <w:rFonts w:ascii="Calibri" w:eastAsia="Times New Roman" w:hAnsi="Calibri" w:cs="Arial"/>
          <w:b/>
        </w:rPr>
        <w:t>EQUALITIES IMPLICATIONS</w:t>
      </w:r>
    </w:p>
    <w:p w:rsidR="00EC47CF" w:rsidRPr="00E07560" w:rsidRDefault="00DE1343" w:rsidP="00972567">
      <w:pPr>
        <w:suppressAutoHyphens/>
        <w:spacing w:after="0" w:line="240" w:lineRule="auto"/>
        <w:ind w:left="567" w:right="-46"/>
        <w:jc w:val="both"/>
        <w:rPr>
          <w:rFonts w:ascii="Calibri" w:eastAsia="Times New Roman" w:hAnsi="Calibri" w:cs="Arial"/>
          <w:lang w:eastAsia="en-GB"/>
        </w:rPr>
      </w:pPr>
      <w:r w:rsidRPr="00E07560">
        <w:rPr>
          <w:rFonts w:ascii="Calibri" w:eastAsia="Times New Roman" w:hAnsi="Calibri" w:cs="Arial"/>
          <w:lang w:eastAsia="en-GB"/>
        </w:rPr>
        <w:t>There are no equality implications.</w:t>
      </w:r>
    </w:p>
    <w:tbl>
      <w:tblPr>
        <w:tblpPr w:leftFromText="180" w:rightFromText="180" w:vertAnchor="text" w:horzAnchor="margin" w:tblpY="20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EC47CF" w:rsidRPr="00166531" w:rsidTr="0011040B">
        <w:tc>
          <w:tcPr>
            <w:tcW w:w="9067" w:type="dxa"/>
          </w:tcPr>
          <w:p w:rsidR="00EC47CF" w:rsidRPr="00166531" w:rsidRDefault="00EC47CF" w:rsidP="0011040B">
            <w:pPr>
              <w:spacing w:after="0" w:line="240" w:lineRule="auto"/>
              <w:jc w:val="both"/>
              <w:rPr>
                <w:rFonts w:ascii="Calibri" w:eastAsia="Times New Roman" w:hAnsi="Calibri" w:cs="Arial"/>
                <w:b/>
                <w:color w:val="000000"/>
                <w:lang w:eastAsia="en-GB"/>
              </w:rPr>
            </w:pPr>
            <w:r w:rsidRPr="00166531">
              <w:rPr>
                <w:rFonts w:ascii="Calibri" w:eastAsia="Times New Roman" w:hAnsi="Calibri" w:cs="Arial"/>
                <w:b/>
                <w:color w:val="000000"/>
                <w:lang w:eastAsia="en-GB"/>
              </w:rPr>
              <w:t>CONCLUSIONS/RECOMMENDATIONS</w:t>
            </w:r>
          </w:p>
          <w:p w:rsidR="00EC47CF" w:rsidRPr="00166531" w:rsidRDefault="00EC47CF" w:rsidP="0011040B">
            <w:pPr>
              <w:spacing w:after="0" w:line="240" w:lineRule="auto"/>
              <w:jc w:val="both"/>
              <w:rPr>
                <w:rFonts w:ascii="Calibri" w:eastAsia="Times New Roman" w:hAnsi="Calibri" w:cs="Arial"/>
                <w:lang w:eastAsia="en-GB"/>
              </w:rPr>
            </w:pPr>
            <w:r w:rsidRPr="00166531">
              <w:rPr>
                <w:rFonts w:ascii="Calibri" w:eastAsia="Times New Roman" w:hAnsi="Calibri" w:cs="Arial"/>
                <w:color w:val="000000"/>
                <w:lang w:eastAsia="en-GB"/>
              </w:rPr>
              <w:t>CSAO are asked to note the information contained in this report and raise or discuss any issues which may prevent publication.</w:t>
            </w:r>
          </w:p>
        </w:tc>
      </w:tr>
    </w:tbl>
    <w:p w:rsidR="00DE1343" w:rsidRPr="00DE1343" w:rsidRDefault="00DE1343" w:rsidP="00DE1343">
      <w:pPr>
        <w:pStyle w:val="Heading3"/>
        <w:spacing w:line="240" w:lineRule="auto"/>
        <w:ind w:left="567" w:hanging="567"/>
        <w:rPr>
          <w:rFonts w:eastAsia="Calibri"/>
        </w:rPr>
      </w:pPr>
    </w:p>
    <w:p w:rsidR="00DE1343" w:rsidRPr="00DE1343" w:rsidRDefault="00DE1343" w:rsidP="00A22D8A">
      <w:pPr>
        <w:pStyle w:val="Heading3"/>
        <w:spacing w:line="240" w:lineRule="auto"/>
        <w:rPr>
          <w:rFonts w:eastAsia="Calibri"/>
        </w:rPr>
      </w:pPr>
    </w:p>
    <w:p w:rsidR="00BB59FA" w:rsidRDefault="00BB59FA" w:rsidP="0011040B">
      <w:pPr>
        <w:pStyle w:val="Heading3"/>
        <w:spacing w:before="0" w:line="240" w:lineRule="auto"/>
        <w:ind w:left="567" w:hanging="567"/>
        <w:rPr>
          <w:b/>
        </w:rPr>
      </w:pPr>
    </w:p>
    <w:p w:rsidR="006707C7" w:rsidRPr="00166531" w:rsidRDefault="006707C7" w:rsidP="0011040B">
      <w:pPr>
        <w:pStyle w:val="Heading3"/>
        <w:spacing w:before="0" w:line="240" w:lineRule="auto"/>
        <w:ind w:left="567" w:hanging="567"/>
        <w:rPr>
          <w:b/>
        </w:rPr>
      </w:pPr>
      <w:r w:rsidRPr="00166531">
        <w:rPr>
          <w:b/>
        </w:rPr>
        <w:t>1.</w:t>
      </w:r>
      <w:r w:rsidRPr="00166531">
        <w:rPr>
          <w:b/>
        </w:rPr>
        <w:tab/>
        <w:t>INTRODUCTION</w:t>
      </w:r>
    </w:p>
    <w:p w:rsidR="006707C7" w:rsidRPr="00166531" w:rsidRDefault="006707C7" w:rsidP="005C1EC8">
      <w:pPr>
        <w:spacing w:after="0" w:line="240" w:lineRule="auto"/>
        <w:ind w:left="567" w:hanging="567"/>
      </w:pPr>
    </w:p>
    <w:p w:rsidR="00DA4547" w:rsidRDefault="006707C7" w:rsidP="00520A56">
      <w:pPr>
        <w:spacing w:after="0" w:line="240" w:lineRule="auto"/>
        <w:ind w:left="567"/>
        <w:jc w:val="both"/>
      </w:pPr>
      <w:r w:rsidRPr="00166531">
        <w:t xml:space="preserve">This paper seeks </w:t>
      </w:r>
      <w:r w:rsidR="00D41429" w:rsidRPr="00166531">
        <w:t>to</w:t>
      </w:r>
      <w:r w:rsidRPr="00166531">
        <w:t xml:space="preserve"> provide an </w:t>
      </w:r>
      <w:r w:rsidR="00BA488D">
        <w:t xml:space="preserve">overview of the Scottish Funding Council (SFC) and Quality Assurance Agency (QAA) project for enhancement within the Tertiary sector (Colleges and Universities) </w:t>
      </w:r>
    </w:p>
    <w:p w:rsidR="0011040B" w:rsidRPr="00166531" w:rsidRDefault="0011040B" w:rsidP="005C1EC8">
      <w:pPr>
        <w:pStyle w:val="ListParagraph"/>
        <w:spacing w:after="0" w:line="240" w:lineRule="auto"/>
        <w:ind w:left="567" w:hanging="567"/>
        <w:jc w:val="both"/>
      </w:pPr>
    </w:p>
    <w:p w:rsidR="00E00AB3" w:rsidRPr="00990212" w:rsidRDefault="00E00AB3" w:rsidP="005C1EC8">
      <w:pPr>
        <w:pStyle w:val="Heading3"/>
        <w:spacing w:before="0" w:line="240" w:lineRule="auto"/>
        <w:ind w:left="567" w:hanging="567"/>
        <w:rPr>
          <w:b/>
        </w:rPr>
      </w:pPr>
      <w:r w:rsidRPr="00990212">
        <w:rPr>
          <w:b/>
        </w:rPr>
        <w:t>2.</w:t>
      </w:r>
      <w:r w:rsidRPr="00990212">
        <w:rPr>
          <w:b/>
        </w:rPr>
        <w:tab/>
      </w:r>
      <w:r w:rsidR="00BA488D">
        <w:rPr>
          <w:b/>
        </w:rPr>
        <w:t>Quality Enhancement Context</w:t>
      </w:r>
    </w:p>
    <w:p w:rsidR="00805AFC" w:rsidRPr="00166531" w:rsidRDefault="00805AFC" w:rsidP="005C1EC8">
      <w:pPr>
        <w:pStyle w:val="Default"/>
        <w:ind w:left="567" w:hanging="567"/>
        <w:rPr>
          <w:sz w:val="22"/>
          <w:szCs w:val="22"/>
        </w:rPr>
      </w:pPr>
    </w:p>
    <w:p w:rsidR="00BA488D" w:rsidRPr="00BA488D" w:rsidRDefault="00BA488D" w:rsidP="00520A56">
      <w:pPr>
        <w:pStyle w:val="paragraph"/>
        <w:spacing w:before="0" w:beforeAutospacing="0" w:after="0" w:afterAutospacing="0"/>
        <w:ind w:left="567"/>
        <w:textAlignment w:val="baseline"/>
        <w:rPr>
          <w:rFonts w:ascii="Segoe UI" w:hAnsi="Segoe UI" w:cs="Segoe UI"/>
          <w:sz w:val="18"/>
          <w:szCs w:val="18"/>
        </w:rPr>
      </w:pPr>
      <w:r w:rsidRPr="00BA488D">
        <w:rPr>
          <w:rFonts w:ascii="Calibri" w:hAnsi="Calibri" w:cs="Calibri"/>
          <w:sz w:val="22"/>
          <w:szCs w:val="22"/>
        </w:rPr>
        <w:t>In 2023, the Quality Assurance Agency (QAA) received the commission from Scottish Funding Council (SFC) to develop and deliver an enhancement-led external peer review for all Scotland's colleges and universities. </w:t>
      </w:r>
      <w:r w:rsidR="00F5325F">
        <w:rPr>
          <w:rFonts w:ascii="Calibri" w:hAnsi="Calibri" w:cs="Calibri"/>
          <w:sz w:val="22"/>
          <w:szCs w:val="22"/>
        </w:rPr>
        <w:t xml:space="preserve">This will be done in collaboration with partner agencies such as CDN, </w:t>
      </w:r>
      <w:proofErr w:type="spellStart"/>
      <w:r w:rsidR="00F5325F">
        <w:rPr>
          <w:rFonts w:ascii="Calibri" w:hAnsi="Calibri" w:cs="Calibri"/>
          <w:sz w:val="22"/>
          <w:szCs w:val="22"/>
        </w:rPr>
        <w:t>sparqs</w:t>
      </w:r>
      <w:proofErr w:type="spellEnd"/>
      <w:r w:rsidR="00F5325F">
        <w:rPr>
          <w:rFonts w:ascii="Calibri" w:hAnsi="Calibri" w:cs="Calibri"/>
          <w:sz w:val="22"/>
          <w:szCs w:val="22"/>
        </w:rPr>
        <w:t xml:space="preserve"> (Student Partnership in Quality Scotland) and SCQF. </w:t>
      </w:r>
      <w:r w:rsidRPr="00BA488D">
        <w:rPr>
          <w:rFonts w:ascii="Calibri" w:hAnsi="Calibri" w:cs="Calibri"/>
          <w:sz w:val="22"/>
          <w:szCs w:val="22"/>
        </w:rPr>
        <w:t> </w:t>
      </w:r>
    </w:p>
    <w:p w:rsidR="00BA488D" w:rsidRPr="00BA488D" w:rsidRDefault="00BA488D" w:rsidP="00BA488D">
      <w:pPr>
        <w:spacing w:after="0" w:line="240" w:lineRule="auto"/>
        <w:textAlignment w:val="baseline"/>
        <w:rPr>
          <w:rFonts w:ascii="Segoe UI" w:eastAsia="Times New Roman" w:hAnsi="Segoe UI" w:cs="Segoe UI"/>
          <w:sz w:val="18"/>
          <w:szCs w:val="18"/>
          <w:lang w:eastAsia="en-GB"/>
        </w:rPr>
      </w:pPr>
      <w:r w:rsidRPr="00BA488D">
        <w:rPr>
          <w:rFonts w:ascii="Calibri" w:eastAsia="Times New Roman" w:hAnsi="Calibri" w:cs="Calibri"/>
          <w:lang w:eastAsia="en-GB"/>
        </w:rPr>
        <w:t> </w:t>
      </w:r>
    </w:p>
    <w:p w:rsidR="00D60699" w:rsidRPr="00C4480E" w:rsidRDefault="00BA488D" w:rsidP="00C4480E">
      <w:pPr>
        <w:spacing w:after="0" w:line="240" w:lineRule="auto"/>
        <w:ind w:left="567"/>
        <w:textAlignment w:val="baseline"/>
        <w:rPr>
          <w:rFonts w:ascii="Calibri" w:eastAsia="Times New Roman" w:hAnsi="Calibri" w:cs="Calibri"/>
          <w:lang w:eastAsia="en-GB"/>
        </w:rPr>
      </w:pPr>
      <w:r w:rsidRPr="00BA488D">
        <w:rPr>
          <w:rFonts w:ascii="Calibri" w:eastAsia="Times New Roman" w:hAnsi="Calibri" w:cs="Calibri"/>
          <w:lang w:eastAsia="en-GB"/>
        </w:rPr>
        <w:t>Scotland’s Tertiary Quality Enhancement Framework (TQEF) contains a set of</w:t>
      </w:r>
      <w:r w:rsidRPr="00BA488D">
        <w:rPr>
          <w:rFonts w:ascii="Calibri" w:eastAsia="Times New Roman" w:hAnsi="Calibri" w:cs="Calibri"/>
          <w:b/>
          <w:bCs/>
          <w:lang w:eastAsia="en-GB"/>
        </w:rPr>
        <w:t xml:space="preserve"> principles</w:t>
      </w:r>
      <w:r w:rsidRPr="00BA488D">
        <w:rPr>
          <w:rFonts w:ascii="Calibri" w:eastAsia="Times New Roman" w:hAnsi="Calibri" w:cs="Calibri"/>
          <w:lang w:eastAsia="en-GB"/>
        </w:rPr>
        <w:t xml:space="preserve">, </w:t>
      </w:r>
      <w:r w:rsidRPr="00BA488D">
        <w:rPr>
          <w:rFonts w:ascii="Calibri" w:eastAsia="Times New Roman" w:hAnsi="Calibri" w:cs="Calibri"/>
          <w:b/>
          <w:bCs/>
          <w:lang w:eastAsia="en-GB"/>
        </w:rPr>
        <w:t>delivery mechanisms</w:t>
      </w:r>
      <w:r w:rsidRPr="00BA488D">
        <w:rPr>
          <w:rFonts w:ascii="Calibri" w:eastAsia="Times New Roman" w:hAnsi="Calibri" w:cs="Calibri"/>
          <w:lang w:eastAsia="en-GB"/>
        </w:rPr>
        <w:t xml:space="preserve"> and </w:t>
      </w:r>
      <w:r w:rsidRPr="00BA488D">
        <w:rPr>
          <w:rFonts w:ascii="Calibri" w:eastAsia="Times New Roman" w:hAnsi="Calibri" w:cs="Calibri"/>
          <w:b/>
          <w:bCs/>
          <w:lang w:eastAsia="en-GB"/>
        </w:rPr>
        <w:t xml:space="preserve">outputs </w:t>
      </w:r>
      <w:r w:rsidRPr="00BA488D">
        <w:rPr>
          <w:rFonts w:ascii="Calibri" w:eastAsia="Times New Roman" w:hAnsi="Calibri" w:cs="Calibri"/>
          <w:lang w:eastAsia="en-GB"/>
        </w:rPr>
        <w:t>which are designed to give assurance on academic standards and enhance the quality of the student learning experience. SFC have adopted a partnership approach to developing the TQEF and will be seeking peer and student reviewers to ensure the peer-led review model is adhered to. The review team will consist of Review Manager (QAA), peer reviewers and student reviewers.  </w:t>
      </w:r>
      <w:r w:rsidRPr="00BA488D">
        <w:rPr>
          <w:rFonts w:ascii="Calibri" w:eastAsia="Times New Roman" w:hAnsi="Calibri" w:cs="Calibri"/>
          <w:lang w:eastAsia="en-GB"/>
        </w:rPr>
        <w:br/>
      </w:r>
    </w:p>
    <w:p w:rsidR="00F17DBB" w:rsidRPr="00166531" w:rsidRDefault="00BA488D" w:rsidP="00BA488D">
      <w:pPr>
        <w:pStyle w:val="Default"/>
        <w:ind w:left="567"/>
        <w:rPr>
          <w:rFonts w:asciiTheme="minorHAnsi" w:hAnsiTheme="minorHAnsi" w:cstheme="minorHAnsi"/>
          <w:sz w:val="22"/>
          <w:szCs w:val="22"/>
        </w:rPr>
      </w:pPr>
      <w:r w:rsidRPr="00BA488D">
        <w:rPr>
          <w:rStyle w:val="normaltextrun"/>
          <w:rFonts w:ascii="Calibri" w:hAnsi="Calibri" w:cs="Calibri"/>
          <w:b/>
          <w:bCs/>
          <w:sz w:val="22"/>
          <w:szCs w:val="22"/>
          <w:u w:val="single"/>
          <w:shd w:val="clear" w:color="auto" w:fill="FFFFFF"/>
        </w:rPr>
        <w:t>Principles</w:t>
      </w:r>
      <w:r w:rsidRPr="00BA488D">
        <w:rPr>
          <w:rStyle w:val="normaltextrun"/>
          <w:rFonts w:ascii="Calibri" w:hAnsi="Calibri" w:cs="Calibri"/>
          <w:sz w:val="22"/>
          <w:szCs w:val="22"/>
          <w:u w:val="single"/>
          <w:shd w:val="clear" w:color="auto" w:fill="FFFFFF"/>
        </w:rPr>
        <w:t>:</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Excellence in Learning and Teaching</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Supporting Student Success</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Enhancement and Quality Culture</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Student Engagement &amp; Partnership</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scxw106224865"/>
          <w:rFonts w:ascii="Calibri" w:hAnsi="Calibri" w:cs="Calibri"/>
          <w:sz w:val="22"/>
          <w:szCs w:val="22"/>
          <w:shd w:val="clear" w:color="auto" w:fill="FFFFFF"/>
        </w:rPr>
        <w:t> </w:t>
      </w:r>
    </w:p>
    <w:p w:rsidR="00430A25" w:rsidRDefault="00BA488D" w:rsidP="00BA488D">
      <w:pPr>
        <w:pStyle w:val="Default"/>
        <w:ind w:left="567"/>
        <w:rPr>
          <w:rFonts w:asciiTheme="minorHAnsi" w:hAnsiTheme="minorHAnsi" w:cstheme="minorHAnsi"/>
          <w:sz w:val="22"/>
          <w:szCs w:val="22"/>
        </w:rPr>
      </w:pPr>
      <w:r w:rsidRPr="00BA488D">
        <w:rPr>
          <w:rStyle w:val="normaltextrun"/>
          <w:rFonts w:ascii="Calibri" w:hAnsi="Calibri" w:cs="Calibri"/>
          <w:b/>
          <w:bCs/>
          <w:sz w:val="22"/>
          <w:szCs w:val="22"/>
          <w:u w:val="single"/>
          <w:shd w:val="clear" w:color="auto" w:fill="FFFFFF"/>
        </w:rPr>
        <w:t>Delivery Mechanisms</w:t>
      </w:r>
      <w:r w:rsidRPr="00BA488D">
        <w:rPr>
          <w:rStyle w:val="normaltextrun"/>
          <w:rFonts w:ascii="Calibri" w:hAnsi="Calibri" w:cs="Calibri"/>
          <w:sz w:val="22"/>
          <w:szCs w:val="22"/>
          <w:u w:val="single"/>
          <w:shd w:val="clear" w:color="auto" w:fill="FFFFFF"/>
        </w:rPr>
        <w:t>:</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Tertiary Quality Enhancement Review (TQER)</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Annual Quality Engagement (AQE)</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Institution-led Quality activity</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Scotland’s Tertiary Enhancement Programme (STEP)</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Use of Data and evidence for reporting</w:t>
      </w:r>
      <w:r>
        <w:rPr>
          <w:rStyle w:val="scxw106224865"/>
          <w:rFonts w:ascii="Calibri" w:hAnsi="Calibri" w:cs="Calibri"/>
          <w:sz w:val="22"/>
          <w:szCs w:val="22"/>
          <w:shd w:val="clear" w:color="auto" w:fill="FFFFFF"/>
        </w:rPr>
        <w:t> </w:t>
      </w:r>
      <w:r>
        <w:rPr>
          <w:rFonts w:ascii="Calibri" w:hAnsi="Calibri" w:cs="Calibri"/>
          <w:sz w:val="22"/>
          <w:szCs w:val="22"/>
          <w:shd w:val="clear" w:color="auto" w:fill="FFFFFF"/>
        </w:rPr>
        <w:br/>
      </w:r>
    </w:p>
    <w:p w:rsidR="00805AFC" w:rsidRPr="00166531" w:rsidRDefault="00BA488D" w:rsidP="00BA488D">
      <w:pPr>
        <w:pStyle w:val="Default"/>
        <w:ind w:left="567"/>
        <w:rPr>
          <w:sz w:val="22"/>
          <w:szCs w:val="22"/>
        </w:rPr>
      </w:pPr>
      <w:r w:rsidRPr="00BA488D">
        <w:rPr>
          <w:rStyle w:val="normaltextrun"/>
          <w:rFonts w:ascii="Calibri" w:hAnsi="Calibri" w:cs="Calibri"/>
          <w:b/>
          <w:bCs/>
          <w:sz w:val="22"/>
          <w:szCs w:val="22"/>
          <w:u w:val="single"/>
          <w:shd w:val="clear" w:color="auto" w:fill="FFFFFF"/>
        </w:rPr>
        <w:t>Outputs</w:t>
      </w:r>
      <w:r w:rsidRPr="00BA488D">
        <w:rPr>
          <w:rStyle w:val="normaltextrun"/>
          <w:rFonts w:ascii="Calibri" w:hAnsi="Calibri" w:cs="Calibri"/>
          <w:sz w:val="22"/>
          <w:szCs w:val="22"/>
          <w:u w:val="single"/>
          <w:shd w:val="clear" w:color="auto" w:fill="FFFFFF"/>
        </w:rPr>
        <w:t>:</w:t>
      </w:r>
      <w:r>
        <w:rPr>
          <w:rStyle w:val="scxw16128790"/>
          <w:rFonts w:ascii="Calibri" w:hAnsi="Calibri" w:cs="Calibri"/>
          <w:sz w:val="22"/>
          <w:szCs w:val="22"/>
          <w:shd w:val="clear" w:color="auto" w:fill="FFFFFF"/>
        </w:rPr>
        <w:t> </w:t>
      </w:r>
      <w:r>
        <w:rPr>
          <w:rFonts w:ascii="Calibri" w:hAnsi="Calibri" w:cs="Calibri"/>
          <w:sz w:val="22"/>
          <w:szCs w:val="22"/>
          <w:shd w:val="clear" w:color="auto" w:fill="FFFFFF"/>
        </w:rPr>
        <w:br/>
      </w:r>
      <w:r>
        <w:rPr>
          <w:rStyle w:val="scxw16128790"/>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Quality Agency Reporting on review activity</w:t>
      </w:r>
      <w:r>
        <w:rPr>
          <w:rStyle w:val="scxw16128790"/>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Self-Evaluation and Action Plan</w:t>
      </w:r>
      <w:r>
        <w:rPr>
          <w:rStyle w:val="scxw16128790"/>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Impact Reporting of enhancement activity</w:t>
      </w:r>
      <w:r>
        <w:rPr>
          <w:rStyle w:val="scxw16128790"/>
          <w:rFonts w:ascii="Calibri" w:hAnsi="Calibri" w:cs="Calibri"/>
          <w:sz w:val="22"/>
          <w:szCs w:val="22"/>
          <w:shd w:val="clear" w:color="auto" w:fill="FFFFFF"/>
        </w:rPr>
        <w:t> </w:t>
      </w:r>
      <w:r>
        <w:rPr>
          <w:rFonts w:ascii="Calibri" w:hAnsi="Calibri" w:cs="Calibri"/>
          <w:sz w:val="22"/>
          <w:szCs w:val="22"/>
          <w:shd w:val="clear" w:color="auto" w:fill="FFFFFF"/>
        </w:rPr>
        <w:br/>
      </w:r>
      <w:r>
        <w:rPr>
          <w:rStyle w:val="normaltextrun"/>
          <w:rFonts w:ascii="Calibri" w:hAnsi="Calibri" w:cs="Calibri"/>
          <w:sz w:val="22"/>
          <w:szCs w:val="22"/>
          <w:shd w:val="clear" w:color="auto" w:fill="FFFFFF"/>
        </w:rPr>
        <w:t>Effectiveness in responding to concerns</w:t>
      </w:r>
      <w:r>
        <w:rPr>
          <w:rStyle w:val="scxw16128790"/>
          <w:rFonts w:ascii="Calibri" w:hAnsi="Calibri" w:cs="Calibri"/>
          <w:sz w:val="22"/>
          <w:szCs w:val="22"/>
          <w:shd w:val="clear" w:color="auto" w:fill="FFFFFF"/>
        </w:rPr>
        <w:t> </w:t>
      </w:r>
      <w:r>
        <w:rPr>
          <w:rFonts w:ascii="Calibri" w:hAnsi="Calibri" w:cs="Calibri"/>
          <w:sz w:val="22"/>
          <w:szCs w:val="22"/>
          <w:shd w:val="clear" w:color="auto" w:fill="FFFFFF"/>
        </w:rPr>
        <w:br/>
      </w:r>
    </w:p>
    <w:p w:rsidR="00BA488D" w:rsidRPr="00BA488D" w:rsidRDefault="00BA488D" w:rsidP="00BA488D">
      <w:pPr>
        <w:pStyle w:val="paragraph"/>
        <w:spacing w:before="0" w:beforeAutospacing="0" w:after="0" w:afterAutospacing="0"/>
        <w:ind w:firstLine="567"/>
        <w:textAlignment w:val="baseline"/>
        <w:rPr>
          <w:rFonts w:ascii="Segoe UI" w:hAnsi="Segoe UI" w:cs="Segoe UI"/>
          <w:sz w:val="18"/>
          <w:szCs w:val="18"/>
        </w:rPr>
      </w:pPr>
      <w:r>
        <w:rPr>
          <w:rFonts w:ascii="Calibri" w:hAnsi="Calibri" w:cs="Calibri"/>
          <w:sz w:val="22"/>
          <w:szCs w:val="22"/>
        </w:rPr>
        <w:t>T</w:t>
      </w:r>
      <w:r w:rsidRPr="00BA488D">
        <w:rPr>
          <w:rFonts w:ascii="Calibri" w:hAnsi="Calibri" w:cs="Calibri"/>
          <w:sz w:val="22"/>
          <w:szCs w:val="22"/>
        </w:rPr>
        <w:t>he TQEF journey is designed to provide public accountability and assurance on quality</w:t>
      </w:r>
      <w:r>
        <w:rPr>
          <w:rFonts w:ascii="Calibri" w:hAnsi="Calibri" w:cs="Calibri"/>
          <w:sz w:val="22"/>
          <w:szCs w:val="22"/>
        </w:rPr>
        <w:t xml:space="preserve">. </w:t>
      </w:r>
      <w:r w:rsidRPr="00BA488D">
        <w:rPr>
          <w:rFonts w:ascii="Calibri" w:hAnsi="Calibri" w:cs="Calibri"/>
          <w:sz w:val="22"/>
          <w:szCs w:val="22"/>
        </w:rPr>
        <w:t> </w:t>
      </w:r>
      <w:r w:rsidRPr="00BA488D">
        <w:rPr>
          <w:rFonts w:ascii="Calibri" w:hAnsi="Calibri" w:cs="Calibri"/>
        </w:rPr>
        <w:t> </w:t>
      </w:r>
    </w:p>
    <w:p w:rsidR="00BA488D" w:rsidRPr="00BA488D" w:rsidRDefault="00BA488D" w:rsidP="00BA488D">
      <w:pPr>
        <w:spacing w:after="0" w:line="240" w:lineRule="auto"/>
        <w:ind w:left="567"/>
        <w:textAlignment w:val="baseline"/>
        <w:rPr>
          <w:rFonts w:ascii="Segoe UI" w:eastAsia="Times New Roman" w:hAnsi="Segoe UI" w:cs="Segoe UI"/>
          <w:b/>
          <w:sz w:val="18"/>
          <w:szCs w:val="18"/>
          <w:lang w:eastAsia="en-GB"/>
        </w:rPr>
      </w:pPr>
      <w:r w:rsidRPr="00BA488D">
        <w:rPr>
          <w:rFonts w:ascii="Calibri" w:eastAsia="Times New Roman" w:hAnsi="Calibri" w:cs="Calibri"/>
          <w:lang w:eastAsia="en-GB"/>
        </w:rPr>
        <w:t>The new external review cycle for colleges and universities will commence AY2425.  </w:t>
      </w:r>
      <w:r w:rsidRPr="00BA488D">
        <w:rPr>
          <w:rFonts w:ascii="Calibri" w:eastAsia="Times New Roman" w:hAnsi="Calibri" w:cs="Calibri"/>
          <w:b/>
          <w:lang w:eastAsia="en-GB"/>
        </w:rPr>
        <w:t>See Appendix 1</w:t>
      </w:r>
    </w:p>
    <w:p w:rsidR="00BA488D" w:rsidRPr="00BA488D" w:rsidRDefault="00BA488D" w:rsidP="00BA488D">
      <w:pPr>
        <w:spacing w:after="0" w:line="240" w:lineRule="auto"/>
        <w:textAlignment w:val="baseline"/>
        <w:rPr>
          <w:rFonts w:ascii="Segoe UI" w:eastAsia="Times New Roman" w:hAnsi="Segoe UI" w:cs="Segoe UI"/>
          <w:sz w:val="18"/>
          <w:szCs w:val="18"/>
          <w:lang w:eastAsia="en-GB"/>
        </w:rPr>
      </w:pPr>
      <w:r w:rsidRPr="00BA488D">
        <w:rPr>
          <w:rFonts w:ascii="Calibri" w:eastAsia="Times New Roman" w:hAnsi="Calibri" w:cs="Calibri"/>
          <w:lang w:eastAsia="en-GB"/>
        </w:rPr>
        <w:t> </w:t>
      </w:r>
    </w:p>
    <w:p w:rsidR="00380AD7" w:rsidRPr="00166531" w:rsidRDefault="00380AD7" w:rsidP="00F17DBB">
      <w:pPr>
        <w:pStyle w:val="Default"/>
        <w:ind w:left="720" w:hanging="720"/>
        <w:jc w:val="both"/>
        <w:rPr>
          <w:rFonts w:asciiTheme="minorHAnsi" w:hAnsiTheme="minorHAnsi" w:cstheme="minorHAnsi"/>
          <w:sz w:val="22"/>
          <w:szCs w:val="22"/>
        </w:rPr>
        <w:sectPr w:rsidR="00380AD7" w:rsidRPr="00166531" w:rsidSect="005448D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567" w:footer="567" w:gutter="0"/>
          <w:cols w:space="708"/>
          <w:titlePg/>
          <w:docGrid w:linePitch="360"/>
        </w:sectPr>
      </w:pPr>
    </w:p>
    <w:p w:rsidR="00BB59FA" w:rsidRDefault="00BB59FA" w:rsidP="00E07560">
      <w:pPr>
        <w:pStyle w:val="Heading3"/>
        <w:spacing w:before="0" w:line="240" w:lineRule="auto"/>
        <w:rPr>
          <w:b/>
        </w:rPr>
      </w:pPr>
    </w:p>
    <w:p w:rsidR="00A07342" w:rsidRDefault="00CE5A1D" w:rsidP="00BB59FA">
      <w:pPr>
        <w:pStyle w:val="Heading3"/>
        <w:spacing w:before="0" w:line="240" w:lineRule="auto"/>
        <w:ind w:left="567" w:hanging="567"/>
        <w:rPr>
          <w:b/>
        </w:rPr>
      </w:pPr>
      <w:r w:rsidRPr="00990212">
        <w:rPr>
          <w:b/>
        </w:rPr>
        <w:t>3.</w:t>
      </w:r>
      <w:r w:rsidRPr="00990212">
        <w:rPr>
          <w:b/>
        </w:rPr>
        <w:tab/>
      </w:r>
      <w:r w:rsidR="00FF64B9">
        <w:rPr>
          <w:b/>
        </w:rPr>
        <w:t>Tertiary Quality Enhancement Review (TQER)</w:t>
      </w:r>
    </w:p>
    <w:p w:rsidR="00BB59FA" w:rsidRDefault="00BB59FA" w:rsidP="00BB59FA">
      <w:pPr>
        <w:spacing w:after="0" w:line="240" w:lineRule="auto"/>
        <w:ind w:left="567" w:hanging="567"/>
      </w:pPr>
    </w:p>
    <w:p w:rsidR="00BA488D" w:rsidRPr="00BA488D" w:rsidRDefault="00BA488D" w:rsidP="00520A56">
      <w:pPr>
        <w:pStyle w:val="paragraph"/>
        <w:spacing w:before="0" w:beforeAutospacing="0" w:after="0" w:afterAutospacing="0"/>
        <w:ind w:left="567"/>
        <w:textAlignment w:val="baseline"/>
        <w:rPr>
          <w:rFonts w:ascii="Segoe UI" w:hAnsi="Segoe UI" w:cs="Segoe UI"/>
          <w:sz w:val="18"/>
          <w:szCs w:val="18"/>
        </w:rPr>
      </w:pPr>
      <w:r w:rsidRPr="00BA488D">
        <w:rPr>
          <w:rFonts w:ascii="Calibri" w:hAnsi="Calibri" w:cs="Calibri"/>
          <w:b/>
          <w:bCs/>
          <w:color w:val="000000"/>
          <w:sz w:val="22"/>
          <w:szCs w:val="22"/>
        </w:rPr>
        <w:t>Aim</w:t>
      </w:r>
      <w:r w:rsidRPr="00BA488D">
        <w:rPr>
          <w:rFonts w:ascii="Calibri" w:hAnsi="Calibri" w:cs="Calibri"/>
          <w:color w:val="000000"/>
          <w:sz w:val="22"/>
          <w:szCs w:val="22"/>
        </w:rPr>
        <w:t>: To answer the question: "Is the provision delivered by New College Lanarkshire of high quality and is it improving?" </w:t>
      </w:r>
      <w:r w:rsidRPr="00BA488D">
        <w:rPr>
          <w:rFonts w:ascii="Calibri" w:hAnsi="Calibri" w:cs="Calibri"/>
          <w:color w:val="000000"/>
          <w:sz w:val="22"/>
          <w:szCs w:val="22"/>
        </w:rPr>
        <w:br/>
      </w:r>
      <w:r w:rsidRPr="00BA488D">
        <w:rPr>
          <w:rFonts w:ascii="Calibri" w:hAnsi="Calibri" w:cs="Calibri"/>
          <w:sz w:val="22"/>
          <w:szCs w:val="22"/>
        </w:rPr>
        <w:t> </w:t>
      </w:r>
      <w:r w:rsidRPr="00BA488D">
        <w:rPr>
          <w:rFonts w:ascii="Calibri" w:hAnsi="Calibri" w:cs="Calibri"/>
          <w:sz w:val="22"/>
          <w:szCs w:val="22"/>
        </w:rPr>
        <w:br/>
      </w:r>
      <w:r w:rsidRPr="00BA488D">
        <w:rPr>
          <w:rFonts w:ascii="Calibri" w:hAnsi="Calibri" w:cs="Calibri"/>
          <w:b/>
          <w:bCs/>
          <w:color w:val="000000"/>
          <w:sz w:val="22"/>
          <w:szCs w:val="22"/>
        </w:rPr>
        <w:t>Objective</w:t>
      </w:r>
      <w:r w:rsidRPr="00BA488D">
        <w:rPr>
          <w:rFonts w:ascii="Calibri" w:hAnsi="Calibri" w:cs="Calibri"/>
          <w:color w:val="000000"/>
          <w:sz w:val="22"/>
          <w:szCs w:val="22"/>
        </w:rPr>
        <w:t>: To create a Quality Enhancement framework which sets out to establish a centre of excellence in learning, teaching and assessment.  A culture of collaborative practice will be fostered which will support student success and engagement as well as encourage external engagement with key stakeholders and industry partners. </w:t>
      </w:r>
    </w:p>
    <w:p w:rsidR="00BA488D" w:rsidRPr="00BA488D" w:rsidRDefault="00BA488D" w:rsidP="00BA488D">
      <w:pPr>
        <w:spacing w:after="0" w:line="240" w:lineRule="auto"/>
        <w:textAlignment w:val="baseline"/>
        <w:rPr>
          <w:rFonts w:ascii="Segoe UI" w:eastAsia="Times New Roman" w:hAnsi="Segoe UI" w:cs="Segoe UI"/>
          <w:sz w:val="18"/>
          <w:szCs w:val="18"/>
          <w:lang w:eastAsia="en-GB"/>
        </w:rPr>
      </w:pPr>
      <w:r w:rsidRPr="00BA488D">
        <w:rPr>
          <w:rFonts w:ascii="Calibri" w:eastAsia="Times New Roman" w:hAnsi="Calibri" w:cs="Calibri"/>
          <w:lang w:eastAsia="en-GB"/>
        </w:rPr>
        <w:t> </w:t>
      </w:r>
    </w:p>
    <w:p w:rsidR="00C4480E" w:rsidRDefault="00BA488D" w:rsidP="00FF64B9">
      <w:pPr>
        <w:spacing w:after="0" w:line="240" w:lineRule="auto"/>
        <w:ind w:left="567"/>
        <w:textAlignment w:val="baseline"/>
        <w:rPr>
          <w:rFonts w:ascii="Calibri" w:eastAsia="Times New Roman" w:hAnsi="Calibri" w:cs="Calibri"/>
          <w:color w:val="000000"/>
          <w:lang w:eastAsia="en-GB"/>
        </w:rPr>
      </w:pPr>
      <w:r w:rsidRPr="00BA488D">
        <w:rPr>
          <w:rFonts w:ascii="Calibri" w:eastAsia="Times New Roman" w:hAnsi="Calibri" w:cs="Calibri"/>
          <w:color w:val="000000"/>
          <w:shd w:val="clear" w:color="auto" w:fill="FFFFFF"/>
          <w:lang w:eastAsia="en-GB"/>
        </w:rPr>
        <w:t>The Tertiary Quality Enhancement Review (TQER), is designed to support assurance and enhancement of academic standards. The TQER replaces previous arrangements (HGIOC and Annual Engagement review) and is designed to be cyclical, peer-led, with an emphasis on the importance of student engagement, data and evidence, and outcomes reporting.  A 7</w:t>
      </w:r>
      <w:r w:rsidR="00C4480E">
        <w:rPr>
          <w:rFonts w:ascii="Calibri" w:eastAsia="Times New Roman" w:hAnsi="Calibri" w:cs="Calibri"/>
          <w:color w:val="000000"/>
          <w:shd w:val="clear" w:color="auto" w:fill="FFFFFF"/>
          <w:lang w:eastAsia="en-GB"/>
        </w:rPr>
        <w:t>-</w:t>
      </w:r>
      <w:r w:rsidRPr="00BA488D">
        <w:rPr>
          <w:rFonts w:ascii="Calibri" w:eastAsia="Times New Roman" w:hAnsi="Calibri" w:cs="Calibri"/>
          <w:color w:val="000000"/>
          <w:shd w:val="clear" w:color="auto" w:fill="FFFFFF"/>
          <w:lang w:eastAsia="en-GB"/>
        </w:rPr>
        <w:t xml:space="preserve">year cycle has been agreed which will include an implementation year and a reflection at the end of the cycle. A QAA Liaison officer will support the reporting on quality assurance, improvement and enhancement. </w:t>
      </w:r>
      <w:r w:rsidRPr="00BA488D">
        <w:rPr>
          <w:rFonts w:ascii="Calibri" w:eastAsia="Times New Roman" w:hAnsi="Calibri" w:cs="Calibri"/>
          <w:color w:val="000000"/>
          <w:lang w:eastAsia="en-GB"/>
        </w:rPr>
        <w:t> </w:t>
      </w:r>
      <w:r w:rsidRPr="00BA488D">
        <w:rPr>
          <w:rFonts w:ascii="Calibri" w:eastAsia="Times New Roman" w:hAnsi="Calibri" w:cs="Calibri"/>
          <w:color w:val="000000"/>
          <w:lang w:eastAsia="en-GB"/>
        </w:rPr>
        <w:br/>
      </w:r>
      <w:r w:rsidRPr="00BA488D">
        <w:rPr>
          <w:rFonts w:ascii="Calibri" w:eastAsia="Times New Roman" w:hAnsi="Calibri" w:cs="Calibri"/>
          <w:lang w:eastAsia="en-GB"/>
        </w:rPr>
        <w:t> </w:t>
      </w:r>
      <w:r w:rsidRPr="00BA488D">
        <w:rPr>
          <w:rFonts w:ascii="Calibri" w:eastAsia="Times New Roman" w:hAnsi="Calibri" w:cs="Calibri"/>
          <w:lang w:eastAsia="en-GB"/>
        </w:rPr>
        <w:br/>
      </w:r>
      <w:r w:rsidRPr="00BA488D">
        <w:rPr>
          <w:rFonts w:ascii="Calibri" w:eastAsia="Times New Roman" w:hAnsi="Calibri" w:cs="Calibri"/>
          <w:color w:val="000000"/>
          <w:lang w:eastAsia="en-GB"/>
        </w:rPr>
        <w:t>Some key features of the TQER are: </w:t>
      </w:r>
      <w:r w:rsidRPr="00BA488D">
        <w:rPr>
          <w:rFonts w:ascii="Calibri" w:eastAsia="Times New Roman" w:hAnsi="Calibri" w:cs="Calibri"/>
          <w:color w:val="000000"/>
          <w:lang w:eastAsia="en-GB"/>
        </w:rPr>
        <w:br/>
      </w:r>
      <w:r w:rsidRPr="00BA488D">
        <w:rPr>
          <w:rFonts w:ascii="Calibri" w:eastAsia="Times New Roman" w:hAnsi="Calibri" w:cs="Calibri"/>
          <w:lang w:eastAsia="en-GB"/>
        </w:rPr>
        <w:t> </w:t>
      </w:r>
      <w:r w:rsidRPr="00BA488D">
        <w:rPr>
          <w:rFonts w:ascii="Calibri" w:eastAsia="Times New Roman" w:hAnsi="Calibri" w:cs="Calibri"/>
          <w:lang w:eastAsia="en-GB"/>
        </w:rPr>
        <w:br/>
      </w:r>
      <w:r w:rsidRPr="00BA488D">
        <w:rPr>
          <w:rFonts w:ascii="Calibri" w:eastAsia="Times New Roman" w:hAnsi="Calibri" w:cs="Calibri"/>
          <w:color w:val="000000"/>
          <w:lang w:eastAsia="en-GB"/>
        </w:rPr>
        <w:t>Involvement with peer and student reviewers which will include site visits </w:t>
      </w:r>
      <w:r w:rsidRPr="00BA488D">
        <w:rPr>
          <w:rFonts w:ascii="Calibri" w:eastAsia="Times New Roman" w:hAnsi="Calibri" w:cs="Calibri"/>
          <w:color w:val="000000"/>
          <w:lang w:eastAsia="en-GB"/>
        </w:rPr>
        <w:br/>
        <w:t>A focus on student voice</w:t>
      </w:r>
      <w:r w:rsidR="00655855">
        <w:rPr>
          <w:rFonts w:ascii="Calibri" w:eastAsia="Times New Roman" w:hAnsi="Calibri" w:cs="Calibri"/>
          <w:color w:val="000000"/>
          <w:lang w:eastAsia="en-GB"/>
        </w:rPr>
        <w:t xml:space="preserve">. </w:t>
      </w:r>
      <w:r w:rsidR="00655855" w:rsidRPr="00655855">
        <w:rPr>
          <w:rFonts w:ascii="Calibri" w:eastAsia="Times New Roman" w:hAnsi="Calibri" w:cs="Calibri"/>
          <w:b/>
          <w:color w:val="000000"/>
          <w:lang w:eastAsia="en-GB"/>
        </w:rPr>
        <w:t>See Appendix 2</w:t>
      </w:r>
      <w:r w:rsidRPr="00BA488D">
        <w:rPr>
          <w:rFonts w:ascii="Calibri" w:eastAsia="Times New Roman" w:hAnsi="Calibri" w:cs="Calibri"/>
          <w:color w:val="000000"/>
          <w:lang w:eastAsia="en-GB"/>
        </w:rPr>
        <w:t xml:space="preserve"> </w:t>
      </w:r>
    </w:p>
    <w:p w:rsidR="00C4480E" w:rsidRDefault="00C4480E" w:rsidP="00FF64B9">
      <w:pPr>
        <w:spacing w:after="0" w:line="240" w:lineRule="auto"/>
        <w:ind w:left="567"/>
        <w:textAlignment w:val="baseline"/>
        <w:rPr>
          <w:rFonts w:ascii="Calibri" w:eastAsia="Times New Roman" w:hAnsi="Calibri" w:cs="Calibri"/>
          <w:color w:val="000000"/>
          <w:lang w:eastAsia="en-GB"/>
        </w:rPr>
      </w:pPr>
    </w:p>
    <w:p w:rsidR="00C4480E" w:rsidRPr="00CA305E" w:rsidRDefault="00C4480E" w:rsidP="00520A56">
      <w:pPr>
        <w:spacing w:after="0" w:line="240" w:lineRule="auto"/>
        <w:ind w:firstLine="567"/>
        <w:textAlignment w:val="baseline"/>
        <w:rPr>
          <w:b/>
        </w:rPr>
      </w:pPr>
      <w:proofErr w:type="spellStart"/>
      <w:r w:rsidRPr="00CA305E">
        <w:rPr>
          <w:b/>
        </w:rPr>
        <w:t>Sparqs</w:t>
      </w:r>
      <w:proofErr w:type="spellEnd"/>
      <w:r w:rsidRPr="00CA305E">
        <w:rPr>
          <w:b/>
        </w:rPr>
        <w:t xml:space="preserve"> and Student Partners    </w:t>
      </w:r>
      <w:r w:rsidRPr="00CA305E">
        <w:rPr>
          <w:b/>
        </w:rPr>
        <w:tab/>
      </w:r>
      <w:r w:rsidRPr="00CA305E">
        <w:rPr>
          <w:b/>
        </w:rPr>
        <w:tab/>
      </w:r>
    </w:p>
    <w:p w:rsidR="00520A56" w:rsidRDefault="00520A56" w:rsidP="00C4480E">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           </w:t>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r w:rsidRPr="00E07560">
        <w:rPr>
          <w:rFonts w:ascii="Calibri" w:eastAsia="Times New Roman" w:hAnsi="Calibri" w:cs="Calibri"/>
          <w:color w:val="000000"/>
          <w:lang w:eastAsia="en-GB"/>
        </w:rPr>
        <w:t>As part of the review process, students will be at the centre of the QE Framework and will be viewed as partners throughout. The new approach will work on the principle of “sector-owned enhancement” which places responsibility for the quality of service and provision that students receive onto individual institutions.  </w:t>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r w:rsidRPr="00E07560">
        <w:rPr>
          <w:rFonts w:ascii="Calibri" w:eastAsia="Times New Roman" w:hAnsi="Calibri" w:cs="Calibri"/>
          <w:color w:val="000000"/>
          <w:lang w:eastAsia="en-GB"/>
        </w:rPr>
        <w:t> </w:t>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proofErr w:type="spellStart"/>
      <w:r>
        <w:rPr>
          <w:rFonts w:ascii="Calibri" w:eastAsia="Times New Roman" w:hAnsi="Calibri" w:cs="Calibri"/>
          <w:color w:val="000000"/>
          <w:lang w:eastAsia="en-GB"/>
        </w:rPr>
        <w:t>s</w:t>
      </w:r>
      <w:r w:rsidRPr="00E07560">
        <w:rPr>
          <w:rFonts w:ascii="Calibri" w:eastAsia="Times New Roman" w:hAnsi="Calibri" w:cs="Calibri"/>
          <w:color w:val="000000"/>
          <w:lang w:eastAsia="en-GB"/>
        </w:rPr>
        <w:t>parqs</w:t>
      </w:r>
      <w:proofErr w:type="spellEnd"/>
      <w:r w:rsidRPr="00E07560">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(student partnerships in quality Scotland) </w:t>
      </w:r>
      <w:r w:rsidRPr="00E07560">
        <w:rPr>
          <w:rFonts w:ascii="Calibri" w:eastAsia="Times New Roman" w:hAnsi="Calibri" w:cs="Calibri"/>
          <w:color w:val="000000"/>
          <w:lang w:eastAsia="en-GB"/>
        </w:rPr>
        <w:t xml:space="preserve">will continue to support students and work </w:t>
      </w:r>
      <w:r>
        <w:rPr>
          <w:rFonts w:ascii="Calibri" w:eastAsia="Times New Roman" w:hAnsi="Calibri" w:cs="Calibri"/>
          <w:color w:val="000000"/>
          <w:lang w:eastAsia="en-GB"/>
        </w:rPr>
        <w:t>closely</w:t>
      </w:r>
      <w:r w:rsidRPr="00E07560">
        <w:rPr>
          <w:rFonts w:ascii="Calibri" w:eastAsia="Times New Roman" w:hAnsi="Calibri" w:cs="Calibri"/>
          <w:color w:val="000000"/>
          <w:lang w:eastAsia="en-GB"/>
        </w:rPr>
        <w:t xml:space="preserve"> alongside </w:t>
      </w:r>
      <w:r>
        <w:rPr>
          <w:rFonts w:ascii="Calibri" w:eastAsia="Times New Roman" w:hAnsi="Calibri" w:cs="Calibri"/>
          <w:color w:val="000000"/>
          <w:lang w:eastAsia="en-GB"/>
        </w:rPr>
        <w:t xml:space="preserve">FE/HE </w:t>
      </w:r>
      <w:r w:rsidRPr="00E07560">
        <w:rPr>
          <w:rFonts w:ascii="Calibri" w:eastAsia="Times New Roman" w:hAnsi="Calibri" w:cs="Calibri"/>
          <w:color w:val="000000"/>
          <w:lang w:eastAsia="en-GB"/>
        </w:rPr>
        <w:t xml:space="preserve">institutions </w:t>
      </w:r>
      <w:r>
        <w:rPr>
          <w:rFonts w:ascii="Calibri" w:eastAsia="Times New Roman" w:hAnsi="Calibri" w:cs="Calibri"/>
          <w:color w:val="000000"/>
          <w:lang w:eastAsia="en-GB"/>
        </w:rPr>
        <w:t>to ensure</w:t>
      </w:r>
      <w:r w:rsidRPr="00E07560">
        <w:rPr>
          <w:rFonts w:ascii="Calibri" w:eastAsia="Times New Roman" w:hAnsi="Calibri" w:cs="Calibri"/>
          <w:color w:val="000000"/>
          <w:lang w:eastAsia="en-GB"/>
        </w:rPr>
        <w:t xml:space="preserve"> representation and curriculum co-creation. They will also support the </w:t>
      </w:r>
      <w:r>
        <w:rPr>
          <w:rFonts w:ascii="Calibri" w:eastAsia="Times New Roman" w:hAnsi="Calibri" w:cs="Calibri"/>
          <w:color w:val="000000"/>
          <w:lang w:eastAsia="en-GB"/>
        </w:rPr>
        <w:t xml:space="preserve">implementation of the </w:t>
      </w:r>
      <w:r w:rsidRPr="00E07560">
        <w:rPr>
          <w:rFonts w:ascii="Calibri" w:eastAsia="Times New Roman" w:hAnsi="Calibri" w:cs="Calibri"/>
          <w:color w:val="000000"/>
          <w:lang w:eastAsia="en-GB"/>
        </w:rPr>
        <w:t>Student reviewer process. </w:t>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r w:rsidRPr="00E07560">
        <w:rPr>
          <w:rFonts w:ascii="Calibri" w:eastAsia="Times New Roman" w:hAnsi="Calibri" w:cs="Calibri"/>
          <w:color w:val="000000"/>
          <w:lang w:eastAsia="en-GB"/>
        </w:rPr>
        <w:t> </w:t>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r w:rsidRPr="00E07560">
        <w:rPr>
          <w:rFonts w:ascii="Calibri" w:eastAsia="Times New Roman" w:hAnsi="Calibri" w:cs="Calibri"/>
          <w:color w:val="000000"/>
          <w:lang w:eastAsia="en-GB"/>
        </w:rPr>
        <w:t>STEP (Scotland’s Tertiary Enhancement Programme) will establish a Steering Group, a Topic Leadership Group, and this will feed into the development of themes across the STEP Network.  The Steering Group will be represented by Colleges (4), Universities (4) and other key stakeholders including SFC, CDN and NUS.  </w:t>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r w:rsidRPr="00E07560">
        <w:rPr>
          <w:rFonts w:ascii="Calibri" w:eastAsia="Times New Roman" w:hAnsi="Calibri" w:cs="Calibri"/>
          <w:color w:val="000000"/>
          <w:lang w:eastAsia="en-GB"/>
        </w:rPr>
        <w:t> </w:t>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r w:rsidRPr="00E07560">
        <w:rPr>
          <w:rFonts w:ascii="Calibri" w:eastAsia="Times New Roman" w:hAnsi="Calibri" w:cs="Calibri"/>
          <w:color w:val="000000"/>
          <w:lang w:eastAsia="en-GB"/>
        </w:rPr>
        <w:t xml:space="preserve">Partner organisation CDN will be working closely with QAA </w:t>
      </w:r>
      <w:r>
        <w:rPr>
          <w:rFonts w:ascii="Calibri" w:eastAsia="Times New Roman" w:hAnsi="Calibri" w:cs="Calibri"/>
          <w:color w:val="000000"/>
          <w:lang w:eastAsia="en-GB"/>
        </w:rPr>
        <w:t>during</w:t>
      </w:r>
      <w:r w:rsidRPr="00E07560">
        <w:rPr>
          <w:rFonts w:ascii="Calibri" w:eastAsia="Times New Roman" w:hAnsi="Calibri" w:cs="Calibri"/>
          <w:color w:val="000000"/>
          <w:lang w:eastAsia="en-GB"/>
        </w:rPr>
        <w:t xml:space="preserve"> </w:t>
      </w:r>
      <w:r>
        <w:rPr>
          <w:rFonts w:ascii="Calibri" w:eastAsia="Times New Roman" w:hAnsi="Calibri" w:cs="Calibri"/>
          <w:color w:val="000000"/>
          <w:lang w:eastAsia="en-GB"/>
        </w:rPr>
        <w:t>the</w:t>
      </w:r>
      <w:r w:rsidRPr="00E07560">
        <w:rPr>
          <w:rFonts w:ascii="Calibri" w:eastAsia="Times New Roman" w:hAnsi="Calibri" w:cs="Calibri"/>
          <w:color w:val="000000"/>
          <w:lang w:eastAsia="en-GB"/>
        </w:rPr>
        <w:t xml:space="preserve"> Discovery Year (Year 1)</w:t>
      </w:r>
      <w:r>
        <w:rPr>
          <w:rFonts w:ascii="Calibri" w:eastAsia="Times New Roman" w:hAnsi="Calibri" w:cs="Calibri"/>
          <w:color w:val="000000"/>
          <w:lang w:eastAsia="en-GB"/>
        </w:rPr>
        <w:t xml:space="preserve"> where</w:t>
      </w:r>
      <w:r w:rsidRPr="00E07560">
        <w:rPr>
          <w:rFonts w:ascii="Calibri" w:eastAsia="Times New Roman" w:hAnsi="Calibri" w:cs="Calibri"/>
          <w:color w:val="000000"/>
          <w:lang w:eastAsia="en-GB"/>
        </w:rPr>
        <w:t xml:space="preserve"> </w:t>
      </w:r>
      <w:r>
        <w:rPr>
          <w:rFonts w:ascii="Calibri" w:eastAsia="Times New Roman" w:hAnsi="Calibri" w:cs="Calibri"/>
          <w:color w:val="000000"/>
          <w:lang w:eastAsia="en-GB"/>
        </w:rPr>
        <w:t>a</w:t>
      </w:r>
      <w:r w:rsidRPr="00E07560">
        <w:rPr>
          <w:rFonts w:ascii="Calibri" w:eastAsia="Times New Roman" w:hAnsi="Calibri" w:cs="Calibri"/>
          <w:color w:val="000000"/>
          <w:lang w:eastAsia="en-GB"/>
        </w:rPr>
        <w:t xml:space="preserve"> series of Discovery Days will be held</w:t>
      </w:r>
      <w:r>
        <w:rPr>
          <w:rFonts w:ascii="Calibri" w:eastAsia="Times New Roman" w:hAnsi="Calibri" w:cs="Calibri"/>
          <w:color w:val="000000"/>
          <w:lang w:eastAsia="en-GB"/>
        </w:rPr>
        <w:t xml:space="preserve"> throughout. </w:t>
      </w:r>
      <w:r w:rsidRPr="00E07560">
        <w:rPr>
          <w:rFonts w:ascii="Calibri" w:eastAsia="Times New Roman" w:hAnsi="Calibri" w:cs="Calibri"/>
          <w:color w:val="000000"/>
          <w:lang w:eastAsia="en-GB"/>
        </w:rPr>
        <w:t> </w:t>
      </w:r>
      <w:r>
        <w:rPr>
          <w:rFonts w:ascii="Segoe UI" w:eastAsia="Times New Roman" w:hAnsi="Segoe UI" w:cs="Segoe UI"/>
          <w:sz w:val="18"/>
          <w:szCs w:val="18"/>
          <w:lang w:eastAsia="en-GB"/>
        </w:rPr>
        <w:br/>
      </w:r>
    </w:p>
    <w:p w:rsidR="00E07560" w:rsidRPr="00E07560" w:rsidRDefault="00E07560" w:rsidP="00E07560">
      <w:pPr>
        <w:spacing w:after="0" w:line="240" w:lineRule="auto"/>
        <w:ind w:left="555"/>
        <w:textAlignment w:val="baseline"/>
        <w:rPr>
          <w:rFonts w:ascii="Segoe UI" w:eastAsia="Times New Roman" w:hAnsi="Segoe UI" w:cs="Segoe UI"/>
          <w:sz w:val="18"/>
          <w:szCs w:val="18"/>
          <w:lang w:eastAsia="en-GB"/>
        </w:rPr>
      </w:pPr>
      <w:r w:rsidRPr="00E07560">
        <w:rPr>
          <w:rFonts w:ascii="Calibri" w:eastAsia="Times New Roman" w:hAnsi="Calibri" w:cs="Calibri"/>
          <w:color w:val="000000"/>
          <w:lang w:eastAsia="en-GB"/>
        </w:rPr>
        <w:t xml:space="preserve">The first enhancement topic is called </w:t>
      </w:r>
      <w:r w:rsidRPr="00E07560">
        <w:rPr>
          <w:rFonts w:ascii="Calibri" w:eastAsia="Times New Roman" w:hAnsi="Calibri" w:cs="Calibri"/>
          <w:b/>
          <w:bCs/>
          <w:color w:val="000000"/>
          <w:lang w:eastAsia="en-GB"/>
        </w:rPr>
        <w:t>Supporting Diverse Learning Journeys</w:t>
      </w:r>
      <w:r w:rsidRPr="00E07560">
        <w:rPr>
          <w:rFonts w:ascii="Calibri" w:eastAsia="Times New Roman" w:hAnsi="Calibri" w:cs="Calibri"/>
          <w:color w:val="000000"/>
          <w:lang w:eastAsia="en-GB"/>
        </w:rPr>
        <w:t xml:space="preserve"> and within this</w:t>
      </w:r>
      <w:r>
        <w:rPr>
          <w:rFonts w:ascii="Calibri" w:eastAsia="Times New Roman" w:hAnsi="Calibri" w:cs="Calibri"/>
          <w:color w:val="000000"/>
          <w:lang w:eastAsia="en-GB"/>
        </w:rPr>
        <w:t>,</w:t>
      </w:r>
      <w:r w:rsidRPr="00E07560">
        <w:rPr>
          <w:rFonts w:ascii="Calibri" w:eastAsia="Times New Roman" w:hAnsi="Calibri" w:cs="Calibri"/>
          <w:color w:val="000000"/>
          <w:lang w:eastAsia="en-GB"/>
        </w:rPr>
        <w:t xml:space="preserve"> themes such as learner pathways, community engagement, skills development and tailored personalised support will be explored.  </w:t>
      </w:r>
      <w:r w:rsidRPr="00E07560">
        <w:rPr>
          <w:rFonts w:ascii="Calibri" w:eastAsia="Times New Roman" w:hAnsi="Calibri" w:cs="Calibri"/>
          <w:color w:val="000000"/>
          <w:lang w:eastAsia="en-GB"/>
        </w:rPr>
        <w:br/>
        <w:t> </w:t>
      </w:r>
    </w:p>
    <w:p w:rsidR="00CA305E" w:rsidRPr="00CA305E" w:rsidRDefault="00CA305E" w:rsidP="00CA305E">
      <w:pPr>
        <w:spacing w:after="0" w:line="240" w:lineRule="auto"/>
        <w:ind w:left="567"/>
        <w:textAlignment w:val="baseline"/>
        <w:rPr>
          <w:rFonts w:ascii="Calibri" w:eastAsia="Times New Roman" w:hAnsi="Calibri" w:cs="Calibri"/>
          <w:color w:val="000000"/>
          <w:lang w:eastAsia="en-GB"/>
        </w:rPr>
        <w:sectPr w:rsidR="00CA305E" w:rsidRPr="00CA305E" w:rsidSect="00FF64B9">
          <w:pgSz w:w="11906" w:h="16838"/>
          <w:pgMar w:top="1440" w:right="1440" w:bottom="1440" w:left="1440" w:header="567" w:footer="567" w:gutter="0"/>
          <w:cols w:space="708"/>
          <w:titlePg/>
          <w:docGrid w:linePitch="360"/>
        </w:sectPr>
      </w:pPr>
    </w:p>
    <w:p w:rsidR="00CA305E" w:rsidRPr="00166531" w:rsidRDefault="00CA305E" w:rsidP="00CA305E">
      <w:pPr>
        <w:pStyle w:val="Heading3"/>
        <w:spacing w:before="0" w:line="240" w:lineRule="auto"/>
        <w:ind w:left="567" w:hanging="567"/>
        <w:jc w:val="both"/>
        <w:rPr>
          <w:b/>
        </w:rPr>
      </w:pPr>
      <w:r>
        <w:rPr>
          <w:b/>
        </w:rPr>
        <w:t>4.</w:t>
      </w:r>
      <w:r w:rsidRPr="00166531">
        <w:rPr>
          <w:b/>
        </w:rPr>
        <w:tab/>
      </w:r>
      <w:r>
        <w:rPr>
          <w:b/>
          <w:bCs/>
        </w:rPr>
        <w:t>Annual Quality Engagement (AQE)</w:t>
      </w:r>
    </w:p>
    <w:p w:rsidR="00CA305E" w:rsidRDefault="00CA305E" w:rsidP="00CA305E">
      <w:pPr>
        <w:spacing w:after="0" w:line="240" w:lineRule="auto"/>
        <w:rPr>
          <w:rStyle w:val="normaltextrun"/>
          <w:rFonts w:ascii="Calibri" w:hAnsi="Calibri" w:cs="Calibri"/>
          <w:color w:val="000000"/>
          <w:shd w:val="clear" w:color="auto" w:fill="FFFFFF"/>
        </w:rPr>
      </w:pPr>
    </w:p>
    <w:p w:rsidR="00990212" w:rsidRPr="00166531" w:rsidRDefault="00BA24C5" w:rsidP="00CA305E">
      <w:pPr>
        <w:spacing w:after="0" w:line="240" w:lineRule="auto"/>
        <w:ind w:left="567"/>
      </w:pPr>
      <w:r>
        <w:rPr>
          <w:rStyle w:val="normaltextrun"/>
          <w:rFonts w:ascii="Calibri" w:hAnsi="Calibri" w:cs="Calibri"/>
          <w:color w:val="000000"/>
          <w:shd w:val="clear" w:color="auto" w:fill="FFFFFF"/>
        </w:rPr>
        <w:t>The AQE has two aspects to it. Institutional Liaison meetings (ILMs) led by QAA and SFC engagement on monitoring of quality of provision. The Self-Evaluation and Action Plan (SEAP) will form the basis for annual engagement. ILMs will be managed through external peer reviews and institutions will be encouraged to seek advice on any additional information which will help the review in addition to the SEAP.</w:t>
      </w:r>
      <w:r>
        <w:rPr>
          <w:rStyle w:val="scxw427748"/>
          <w:rFonts w:ascii="Calibri" w:hAnsi="Calibri" w:cs="Calibri"/>
          <w:color w:val="000000"/>
          <w:shd w:val="clear" w:color="auto" w:fill="FFFFFF"/>
        </w:rPr>
        <w:t> </w:t>
      </w:r>
    </w:p>
    <w:p w:rsidR="00BB59FA" w:rsidRDefault="00BB59FA" w:rsidP="000E425B">
      <w:pPr>
        <w:spacing w:after="0" w:line="240" w:lineRule="auto"/>
        <w:ind w:left="567" w:hanging="567"/>
        <w:jc w:val="both"/>
      </w:pPr>
    </w:p>
    <w:p w:rsidR="00C615C4" w:rsidRPr="00166531" w:rsidRDefault="00090ECE" w:rsidP="000E425B">
      <w:pPr>
        <w:pStyle w:val="Heading3"/>
        <w:spacing w:before="0" w:line="240" w:lineRule="auto"/>
        <w:ind w:left="567" w:hanging="567"/>
        <w:jc w:val="both"/>
        <w:rPr>
          <w:b/>
        </w:rPr>
      </w:pPr>
      <w:r w:rsidRPr="00166531">
        <w:rPr>
          <w:b/>
        </w:rPr>
        <w:t>5</w:t>
      </w:r>
      <w:r w:rsidR="000E425B">
        <w:rPr>
          <w:b/>
        </w:rPr>
        <w:t>.</w:t>
      </w:r>
      <w:r w:rsidR="00C615C4" w:rsidRPr="00166531">
        <w:rPr>
          <w:b/>
        </w:rPr>
        <w:tab/>
      </w:r>
      <w:r w:rsidR="00283757">
        <w:rPr>
          <w:b/>
          <w:bCs/>
        </w:rPr>
        <w:t>Self-Evaluation and Action (SEAP)</w:t>
      </w:r>
    </w:p>
    <w:p w:rsidR="00C615C4" w:rsidRPr="00166531" w:rsidRDefault="00C615C4" w:rsidP="000E425B">
      <w:pPr>
        <w:pStyle w:val="Heading3"/>
        <w:spacing w:before="0" w:line="240" w:lineRule="auto"/>
      </w:pPr>
    </w:p>
    <w:p w:rsidR="004A23B1" w:rsidRPr="004A23B1" w:rsidRDefault="00C615C4" w:rsidP="004A23B1">
      <w:pPr>
        <w:pStyle w:val="paragraph"/>
        <w:spacing w:before="0" w:beforeAutospacing="0" w:after="0" w:afterAutospacing="0"/>
        <w:ind w:left="567" w:hanging="567"/>
        <w:textAlignment w:val="baseline"/>
        <w:rPr>
          <w:rFonts w:ascii="Segoe UI" w:hAnsi="Segoe UI" w:cs="Segoe UI"/>
          <w:sz w:val="18"/>
          <w:szCs w:val="18"/>
        </w:rPr>
      </w:pPr>
      <w:r w:rsidRPr="00166531">
        <w:tab/>
      </w:r>
      <w:r w:rsidR="004A23B1" w:rsidRPr="004A23B1">
        <w:rPr>
          <w:rFonts w:ascii="Calibri" w:hAnsi="Calibri" w:cs="Calibri"/>
          <w:sz w:val="22"/>
          <w:szCs w:val="22"/>
        </w:rPr>
        <w:t>From 2024-2025, the SEAP will be the only annual reporting on quality that institutions need to make to SFC. As part of the TQEF review cycle, institutions will not be required to submit a SEAP if they are undertaking a TQER. Instead they will submit a Strategic Impact Analysis (SIA) to QAA. </w:t>
      </w:r>
      <w:r w:rsidR="004A23B1" w:rsidRPr="004A23B1">
        <w:rPr>
          <w:rFonts w:ascii="Calibri" w:hAnsi="Calibri" w:cs="Calibri"/>
          <w:sz w:val="22"/>
          <w:szCs w:val="22"/>
        </w:rPr>
        <w:br/>
        <w:t> </w:t>
      </w:r>
      <w:r w:rsidR="004A23B1" w:rsidRPr="004A23B1">
        <w:rPr>
          <w:rFonts w:ascii="Calibri" w:hAnsi="Calibri" w:cs="Calibri"/>
          <w:sz w:val="22"/>
          <w:szCs w:val="22"/>
        </w:rPr>
        <w:br/>
        <w:t>The SEAP will allow institutions to reflect on quality assurance and enhancement activities and outcomes whilst planning strategic enhancement through the action plan. Key priorities will be how the SEAP acts as an evidence base for high quality learning and teaching, student engagement and strategic planning. SFC will use it as a marker for gauging the effective use and impact of public investment. QAA will use the SEAP as an evidence base for the TQER, annual institution progress and to support the ILMs. </w:t>
      </w:r>
    </w:p>
    <w:p w:rsidR="00BB59FA" w:rsidRPr="007A3A78" w:rsidRDefault="004A23B1" w:rsidP="00E07560">
      <w:pPr>
        <w:spacing w:after="0" w:line="240" w:lineRule="auto"/>
        <w:textAlignment w:val="baseline"/>
        <w:rPr>
          <w:rFonts w:ascii="Segoe UI" w:eastAsia="Times New Roman" w:hAnsi="Segoe UI" w:cs="Segoe UI"/>
          <w:sz w:val="18"/>
          <w:szCs w:val="18"/>
          <w:lang w:eastAsia="en-GB"/>
        </w:rPr>
      </w:pPr>
      <w:r w:rsidRPr="004A23B1">
        <w:rPr>
          <w:rFonts w:ascii="Calibri" w:eastAsia="Times New Roman" w:hAnsi="Calibri" w:cs="Calibri"/>
          <w:lang w:eastAsia="en-GB"/>
        </w:rPr>
        <w:t> </w:t>
      </w:r>
      <w:r w:rsidRPr="004A23B1">
        <w:rPr>
          <w:rFonts w:ascii="Calibri" w:eastAsia="Times New Roman" w:hAnsi="Calibri" w:cs="Calibri"/>
          <w:lang w:eastAsia="en-GB"/>
        </w:rPr>
        <w:br/>
      </w:r>
    </w:p>
    <w:p w:rsidR="00BB59FA" w:rsidRPr="00166531" w:rsidRDefault="00FF64B9" w:rsidP="00BB59FA">
      <w:pPr>
        <w:pStyle w:val="Heading3"/>
        <w:spacing w:before="0" w:line="240" w:lineRule="auto"/>
        <w:ind w:left="567" w:hanging="567"/>
        <w:jc w:val="both"/>
        <w:rPr>
          <w:b/>
        </w:rPr>
      </w:pPr>
      <w:r>
        <w:rPr>
          <w:b/>
        </w:rPr>
        <w:t>6</w:t>
      </w:r>
      <w:r w:rsidR="00BB59FA">
        <w:rPr>
          <w:b/>
        </w:rPr>
        <w:t>.</w:t>
      </w:r>
      <w:r w:rsidR="00BB59FA" w:rsidRPr="00166531">
        <w:rPr>
          <w:b/>
        </w:rPr>
        <w:tab/>
      </w:r>
      <w:r>
        <w:rPr>
          <w:b/>
          <w:bCs/>
        </w:rPr>
        <w:t>NCL SEAP Plan</w:t>
      </w:r>
    </w:p>
    <w:p w:rsidR="00BB59FA" w:rsidRDefault="00BB59FA" w:rsidP="000E425B">
      <w:pPr>
        <w:spacing w:after="0" w:line="240" w:lineRule="auto"/>
        <w:ind w:left="567" w:hanging="567"/>
        <w:jc w:val="both"/>
      </w:pPr>
    </w:p>
    <w:p w:rsidR="00FF64B9" w:rsidRPr="00FF64B9" w:rsidRDefault="00FF64B9" w:rsidP="00520A56">
      <w:pPr>
        <w:pStyle w:val="paragraph"/>
        <w:spacing w:before="0" w:beforeAutospacing="0" w:after="0" w:afterAutospacing="0"/>
        <w:ind w:left="567"/>
        <w:textAlignment w:val="baseline"/>
        <w:rPr>
          <w:rFonts w:ascii="Segoe UI" w:hAnsi="Segoe UI" w:cs="Segoe UI"/>
          <w:sz w:val="18"/>
          <w:szCs w:val="18"/>
        </w:rPr>
      </w:pPr>
      <w:r w:rsidRPr="00FF64B9">
        <w:rPr>
          <w:rFonts w:ascii="Calibri" w:hAnsi="Calibri" w:cs="Calibri"/>
          <w:b/>
          <w:bCs/>
          <w:sz w:val="22"/>
          <w:szCs w:val="22"/>
        </w:rPr>
        <w:t>Purpose</w:t>
      </w:r>
      <w:r w:rsidRPr="00FF64B9">
        <w:rPr>
          <w:rFonts w:ascii="Calibri" w:hAnsi="Calibri" w:cs="Calibri"/>
          <w:sz w:val="22"/>
          <w:szCs w:val="22"/>
        </w:rPr>
        <w:t> </w:t>
      </w:r>
      <w:r w:rsidRPr="00FF64B9">
        <w:rPr>
          <w:rFonts w:ascii="Calibri" w:hAnsi="Calibri" w:cs="Calibri"/>
          <w:sz w:val="22"/>
          <w:szCs w:val="22"/>
        </w:rPr>
        <w:br/>
        <w:t> </w:t>
      </w:r>
      <w:r w:rsidRPr="00FF64B9">
        <w:rPr>
          <w:rFonts w:ascii="Calibri" w:hAnsi="Calibri" w:cs="Calibri"/>
          <w:sz w:val="22"/>
          <w:szCs w:val="22"/>
        </w:rPr>
        <w:br/>
        <w:t>The SEAP replaces annual reporting and acts as a tool for internal reflection, strategic planning and is a statement of assurance for both SFC and QAA.  </w:t>
      </w:r>
    </w:p>
    <w:p w:rsidR="00FF64B9" w:rsidRDefault="00FF64B9" w:rsidP="00FF64B9">
      <w:pPr>
        <w:spacing w:after="0" w:line="240" w:lineRule="auto"/>
        <w:ind w:firstLine="567"/>
        <w:textAlignment w:val="baseline"/>
        <w:rPr>
          <w:rFonts w:ascii="Calibri" w:eastAsia="Times New Roman" w:hAnsi="Calibri" w:cs="Calibri"/>
          <w:b/>
          <w:bCs/>
          <w:lang w:eastAsia="en-GB"/>
        </w:rPr>
      </w:pPr>
    </w:p>
    <w:p w:rsidR="00FF64B9" w:rsidRDefault="00FF64B9" w:rsidP="00FF64B9">
      <w:pPr>
        <w:spacing w:after="0" w:line="240" w:lineRule="auto"/>
        <w:ind w:firstLine="567"/>
        <w:textAlignment w:val="baseline"/>
        <w:rPr>
          <w:rFonts w:ascii="Segoe UI" w:eastAsia="Times New Roman" w:hAnsi="Segoe UI" w:cs="Segoe UI"/>
          <w:sz w:val="18"/>
          <w:szCs w:val="18"/>
          <w:lang w:eastAsia="en-GB"/>
        </w:rPr>
      </w:pPr>
      <w:r w:rsidRPr="00FF64B9">
        <w:rPr>
          <w:rFonts w:ascii="Calibri" w:eastAsia="Times New Roman" w:hAnsi="Calibri" w:cs="Calibri"/>
          <w:b/>
          <w:bCs/>
          <w:lang w:eastAsia="en-GB"/>
        </w:rPr>
        <w:t>Preparation</w:t>
      </w:r>
      <w:r w:rsidRPr="00FF64B9">
        <w:rPr>
          <w:rFonts w:ascii="Calibri" w:eastAsia="Times New Roman" w:hAnsi="Calibri" w:cs="Calibri"/>
          <w:lang w:eastAsia="en-GB"/>
        </w:rPr>
        <w:t> </w:t>
      </w:r>
    </w:p>
    <w:p w:rsidR="00FF64B9" w:rsidRPr="00FF64B9" w:rsidRDefault="00FF64B9" w:rsidP="00FF64B9">
      <w:pPr>
        <w:spacing w:after="0" w:line="240" w:lineRule="auto"/>
        <w:textAlignment w:val="baseline"/>
        <w:rPr>
          <w:rFonts w:ascii="Segoe UI" w:eastAsia="Times New Roman" w:hAnsi="Segoe UI" w:cs="Segoe UI"/>
          <w:sz w:val="18"/>
          <w:szCs w:val="18"/>
          <w:lang w:eastAsia="en-GB"/>
        </w:rPr>
      </w:pPr>
      <w:r w:rsidRPr="00FF64B9">
        <w:rPr>
          <w:rFonts w:ascii="Calibri" w:eastAsia="Times New Roman" w:hAnsi="Calibri" w:cs="Calibri"/>
          <w:lang w:eastAsia="en-GB"/>
        </w:rPr>
        <w:t> </w:t>
      </w:r>
      <w:r>
        <w:rPr>
          <w:rFonts w:ascii="Segoe UI" w:eastAsia="Times New Roman" w:hAnsi="Segoe UI" w:cs="Segoe UI"/>
          <w:sz w:val="18"/>
          <w:szCs w:val="18"/>
          <w:lang w:eastAsia="en-GB"/>
        </w:rPr>
        <w:t xml:space="preserve">          </w:t>
      </w:r>
      <w:r w:rsidRPr="00FF64B9">
        <w:rPr>
          <w:rFonts w:ascii="Calibri" w:eastAsia="Times New Roman" w:hAnsi="Calibri" w:cs="Calibri"/>
          <w:lang w:eastAsia="en-GB"/>
        </w:rPr>
        <w:t>The SEAP should be concise, focusing on high-level themes </w:t>
      </w:r>
    </w:p>
    <w:p w:rsidR="00FF64B9" w:rsidRPr="00FF64B9" w:rsidRDefault="00FF64B9" w:rsidP="00FF64B9">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 xml:space="preserve">           </w:t>
      </w:r>
      <w:r w:rsidRPr="00FF64B9">
        <w:rPr>
          <w:rFonts w:ascii="Calibri" w:eastAsia="Times New Roman" w:hAnsi="Calibri" w:cs="Calibri"/>
          <w:lang w:eastAsia="en-GB"/>
        </w:rPr>
        <w:t>Excluding the Action Plan, the self-evaluation should be approximately 5000 words </w:t>
      </w:r>
    </w:p>
    <w:p w:rsidR="00FF64B9" w:rsidRDefault="00FF64B9" w:rsidP="00FF64B9">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           </w:t>
      </w:r>
      <w:r w:rsidRPr="00FF64B9">
        <w:rPr>
          <w:rFonts w:ascii="Calibri" w:eastAsia="Times New Roman" w:hAnsi="Calibri" w:cs="Calibri"/>
          <w:lang w:eastAsia="en-GB"/>
        </w:rPr>
        <w:t xml:space="preserve">Evidence of how institutions have engaged with students as partners should be front and </w:t>
      </w:r>
      <w:r>
        <w:rPr>
          <w:rFonts w:ascii="Calibri" w:eastAsia="Times New Roman" w:hAnsi="Calibri" w:cs="Calibri"/>
          <w:lang w:eastAsia="en-GB"/>
        </w:rPr>
        <w:t xml:space="preserve">                </w:t>
      </w:r>
    </w:p>
    <w:p w:rsidR="00FF64B9" w:rsidRPr="00FF64B9" w:rsidRDefault="00FF64B9" w:rsidP="00FF64B9">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 xml:space="preserve">           </w:t>
      </w:r>
      <w:r w:rsidRPr="00FF64B9">
        <w:rPr>
          <w:rFonts w:ascii="Calibri" w:eastAsia="Times New Roman" w:hAnsi="Calibri" w:cs="Calibri"/>
          <w:lang w:eastAsia="en-GB"/>
        </w:rPr>
        <w:t>centre of the SEAP process </w:t>
      </w:r>
      <w:r w:rsidRPr="00FF64B9">
        <w:rPr>
          <w:rFonts w:ascii="Calibri" w:eastAsia="Times New Roman" w:hAnsi="Calibri" w:cs="Calibri"/>
          <w:lang w:eastAsia="en-GB"/>
        </w:rPr>
        <w:br/>
      </w:r>
      <w:r>
        <w:rPr>
          <w:rFonts w:ascii="Calibri" w:eastAsia="Times New Roman" w:hAnsi="Calibri" w:cs="Calibri"/>
          <w:lang w:eastAsia="en-GB"/>
        </w:rPr>
        <w:t xml:space="preserve">          </w:t>
      </w:r>
    </w:p>
    <w:p w:rsidR="00C4480E" w:rsidRPr="00C4480E" w:rsidRDefault="00FF64B9" w:rsidP="00FF64B9">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b/>
          <w:bCs/>
          <w:lang w:eastAsia="en-GB"/>
        </w:rPr>
        <w:t xml:space="preserve">           </w:t>
      </w:r>
      <w:r w:rsidRPr="00FF64B9">
        <w:rPr>
          <w:rFonts w:ascii="Calibri" w:eastAsia="Times New Roman" w:hAnsi="Calibri" w:cs="Calibri"/>
          <w:b/>
          <w:bCs/>
          <w:lang w:eastAsia="en-GB"/>
        </w:rPr>
        <w:t>NCL Approach</w:t>
      </w:r>
      <w:r w:rsidRPr="00FF64B9">
        <w:rPr>
          <w:rFonts w:ascii="Calibri" w:eastAsia="Times New Roman" w:hAnsi="Calibri" w:cs="Calibri"/>
          <w:lang w:eastAsia="en-GB"/>
        </w:rPr>
        <w:t> </w:t>
      </w:r>
    </w:p>
    <w:p w:rsidR="00FF64B9" w:rsidRPr="00FF64B9" w:rsidRDefault="00FF64B9" w:rsidP="00FF64B9">
      <w:pPr>
        <w:spacing w:after="0" w:line="240" w:lineRule="auto"/>
        <w:textAlignment w:val="baseline"/>
        <w:rPr>
          <w:rFonts w:ascii="Segoe UI" w:eastAsia="Times New Roman" w:hAnsi="Segoe UI" w:cs="Segoe UI"/>
          <w:sz w:val="18"/>
          <w:szCs w:val="18"/>
          <w:lang w:eastAsia="en-GB"/>
        </w:rPr>
      </w:pPr>
      <w:r w:rsidRPr="00FF64B9">
        <w:rPr>
          <w:rFonts w:ascii="Calibri" w:eastAsia="Times New Roman" w:hAnsi="Calibri" w:cs="Calibri"/>
          <w:lang w:eastAsia="en-GB"/>
        </w:rPr>
        <w:t> </w:t>
      </w:r>
    </w:p>
    <w:p w:rsidR="00520A56" w:rsidRDefault="00FF64B9" w:rsidP="00CA305E">
      <w:pPr>
        <w:spacing w:after="0" w:line="240" w:lineRule="auto"/>
        <w:ind w:left="567"/>
        <w:textAlignment w:val="baseline"/>
        <w:rPr>
          <w:rFonts w:ascii="Calibri" w:eastAsia="Times New Roman" w:hAnsi="Calibri" w:cs="Calibri"/>
          <w:lang w:eastAsia="en-GB"/>
        </w:rPr>
      </w:pPr>
      <w:r w:rsidRPr="00FF64B9">
        <w:rPr>
          <w:rFonts w:ascii="Calibri" w:eastAsia="Times New Roman" w:hAnsi="Calibri" w:cs="Calibri"/>
          <w:lang w:eastAsia="en-GB"/>
        </w:rPr>
        <w:t xml:space="preserve">The Assistant Principal is leading the SEAP </w:t>
      </w:r>
      <w:r w:rsidR="00C4480E">
        <w:rPr>
          <w:rFonts w:ascii="Calibri" w:eastAsia="Times New Roman" w:hAnsi="Calibri" w:cs="Calibri"/>
          <w:lang w:eastAsia="en-GB"/>
        </w:rPr>
        <w:t>process,</w:t>
      </w:r>
      <w:r w:rsidRPr="00FF64B9">
        <w:rPr>
          <w:rFonts w:ascii="Calibri" w:eastAsia="Times New Roman" w:hAnsi="Calibri" w:cs="Calibri"/>
          <w:lang w:eastAsia="en-GB"/>
        </w:rPr>
        <w:t xml:space="preserve"> supported by the </w:t>
      </w:r>
      <w:r w:rsidR="00655855">
        <w:rPr>
          <w:rFonts w:ascii="Calibri" w:eastAsia="Times New Roman" w:hAnsi="Calibri" w:cs="Calibri"/>
          <w:lang w:eastAsia="en-GB"/>
        </w:rPr>
        <w:t xml:space="preserve">NCL </w:t>
      </w:r>
      <w:r w:rsidRPr="00FF64B9">
        <w:rPr>
          <w:rFonts w:ascii="Calibri" w:eastAsia="Times New Roman" w:hAnsi="Calibri" w:cs="Calibri"/>
          <w:lang w:eastAsia="en-GB"/>
        </w:rPr>
        <w:t>Dean</w:t>
      </w:r>
      <w:r w:rsidR="00655855">
        <w:rPr>
          <w:rFonts w:ascii="Calibri" w:eastAsia="Times New Roman" w:hAnsi="Calibri" w:cs="Calibri"/>
          <w:lang w:eastAsia="en-GB"/>
        </w:rPr>
        <w:t>s</w:t>
      </w:r>
      <w:r w:rsidRPr="00FF64B9">
        <w:rPr>
          <w:rFonts w:ascii="Calibri" w:eastAsia="Times New Roman" w:hAnsi="Calibri" w:cs="Calibri"/>
          <w:lang w:eastAsia="en-GB"/>
        </w:rPr>
        <w:t>. </w:t>
      </w:r>
      <w:r w:rsidRPr="00FF64B9">
        <w:rPr>
          <w:rFonts w:ascii="Calibri" w:eastAsia="Times New Roman" w:hAnsi="Calibri" w:cs="Calibri"/>
          <w:lang w:eastAsia="en-GB"/>
        </w:rPr>
        <w:br/>
        <w:t> </w:t>
      </w:r>
      <w:r w:rsidRPr="00FF64B9">
        <w:rPr>
          <w:rFonts w:ascii="Calibri" w:eastAsia="Times New Roman" w:hAnsi="Calibri" w:cs="Calibri"/>
          <w:lang w:eastAsia="en-GB"/>
        </w:rPr>
        <w:br/>
        <w:t>Excellence in Learning and Teaching (BS) </w:t>
      </w:r>
      <w:r w:rsidRPr="00FF64B9">
        <w:rPr>
          <w:rFonts w:ascii="Calibri" w:eastAsia="Times New Roman" w:hAnsi="Calibri" w:cs="Calibri"/>
          <w:lang w:eastAsia="en-GB"/>
        </w:rPr>
        <w:br/>
        <w:t>Supporting Student Success (NM) </w:t>
      </w:r>
      <w:r w:rsidRPr="00FF64B9">
        <w:rPr>
          <w:rFonts w:ascii="Calibri" w:eastAsia="Times New Roman" w:hAnsi="Calibri" w:cs="Calibri"/>
          <w:lang w:eastAsia="en-GB"/>
        </w:rPr>
        <w:br/>
        <w:t>Enhancement and Quality Culture (AM) </w:t>
      </w:r>
      <w:r w:rsidRPr="00FF64B9">
        <w:rPr>
          <w:rFonts w:ascii="Calibri" w:eastAsia="Times New Roman" w:hAnsi="Calibri" w:cs="Calibri"/>
          <w:lang w:eastAsia="en-GB"/>
        </w:rPr>
        <w:br/>
        <w:t>Student Engagement and Partnership (JL) </w:t>
      </w:r>
    </w:p>
    <w:p w:rsidR="00103A08" w:rsidRPr="00520A56" w:rsidRDefault="00E07560" w:rsidP="00520A56">
      <w:pPr>
        <w:spacing w:after="0" w:line="240" w:lineRule="auto"/>
        <w:ind w:left="567"/>
        <w:textAlignment w:val="baseline"/>
        <w:rPr>
          <w:rFonts w:ascii="Segoe UI" w:eastAsia="Times New Roman" w:hAnsi="Segoe UI" w:cs="Segoe UI"/>
          <w:sz w:val="18"/>
          <w:szCs w:val="18"/>
          <w:lang w:eastAsia="en-GB"/>
        </w:rPr>
      </w:pPr>
      <w:r>
        <w:rPr>
          <w:rFonts w:ascii="Calibri" w:eastAsia="Times New Roman" w:hAnsi="Calibri" w:cs="Calibri"/>
          <w:lang w:eastAsia="en-GB"/>
        </w:rPr>
        <w:br/>
      </w:r>
      <w:bookmarkStart w:id="0" w:name="_GoBack"/>
      <w:bookmarkEnd w:id="0"/>
      <w:r w:rsidR="00FF64B9" w:rsidRPr="00FF64B9">
        <w:rPr>
          <w:rFonts w:ascii="Calibri" w:eastAsia="Times New Roman" w:hAnsi="Calibri" w:cs="Calibri"/>
          <w:lang w:eastAsia="en-GB"/>
        </w:rPr>
        <w:t>The report will be underpinned by evidence of partnership and stakeholder engagement and will be driven by Data and Evidence</w:t>
      </w:r>
      <w:r w:rsidR="00520A56">
        <w:rPr>
          <w:rFonts w:ascii="Calibri" w:eastAsia="Times New Roman" w:hAnsi="Calibri" w:cs="Calibri"/>
          <w:lang w:eastAsia="en-GB"/>
        </w:rPr>
        <w:t xml:space="preserve"> and signed off by the Accountable Officer.</w:t>
      </w:r>
    </w:p>
    <w:p w:rsidR="00103A08" w:rsidRPr="00166531" w:rsidRDefault="00103A08" w:rsidP="00805AFC">
      <w:pPr>
        <w:sectPr w:rsidR="00103A08" w:rsidRPr="00166531" w:rsidSect="00380AD7">
          <w:pgSz w:w="11906" w:h="16838"/>
          <w:pgMar w:top="1440" w:right="1440" w:bottom="1440" w:left="1440" w:header="567" w:footer="567" w:gutter="0"/>
          <w:cols w:space="708"/>
          <w:titlePg/>
          <w:docGrid w:linePitch="360"/>
        </w:sectPr>
      </w:pPr>
    </w:p>
    <w:p w:rsidR="00805AFC" w:rsidRPr="005C1EC8" w:rsidRDefault="00103A08" w:rsidP="00103A08">
      <w:pPr>
        <w:pStyle w:val="Heading3"/>
        <w:rPr>
          <w:b/>
        </w:rPr>
      </w:pPr>
      <w:r w:rsidRPr="005C1EC8">
        <w:rPr>
          <w:b/>
        </w:rPr>
        <w:t xml:space="preserve">Appendix 1 </w:t>
      </w:r>
      <w:r w:rsidR="00FF64B9">
        <w:rPr>
          <w:b/>
        </w:rPr>
        <w:t>-</w:t>
      </w:r>
    </w:p>
    <w:p w:rsidR="00805AFC" w:rsidRDefault="00805AFC" w:rsidP="00805AFC"/>
    <w:p w:rsidR="00655855" w:rsidRPr="00655855" w:rsidRDefault="00C4480E" w:rsidP="00655855">
      <w:r>
        <w:rPr>
          <w:noProof/>
        </w:rPr>
        <w:drawing>
          <wp:inline distT="0" distB="0" distL="0" distR="0">
            <wp:extent cx="8863330" cy="4341697"/>
            <wp:effectExtent l="0" t="0" r="0" b="1905"/>
            <wp:docPr id="8" name="Picture 8" descr="Scotland's Tertiary Quality Enhancement Framework - Scottish Fund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otland's Tertiary Quality Enhancement Framework - Scottish Funding Counc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330" cy="4341697"/>
                    </a:xfrm>
                    <a:prstGeom prst="rect">
                      <a:avLst/>
                    </a:prstGeom>
                    <a:noFill/>
                    <a:ln>
                      <a:noFill/>
                    </a:ln>
                  </pic:spPr>
                </pic:pic>
              </a:graphicData>
            </a:graphic>
          </wp:inline>
        </w:drawing>
      </w:r>
    </w:p>
    <w:p w:rsidR="00655855" w:rsidRDefault="00655855" w:rsidP="00FF64B9">
      <w:pPr>
        <w:pStyle w:val="Heading3"/>
        <w:rPr>
          <w:b/>
        </w:rPr>
      </w:pPr>
    </w:p>
    <w:p w:rsidR="00655855" w:rsidRPr="00655855" w:rsidRDefault="00655855" w:rsidP="00655855"/>
    <w:p w:rsidR="002B63B4" w:rsidRDefault="00103A08" w:rsidP="00FF64B9">
      <w:pPr>
        <w:pStyle w:val="Heading3"/>
        <w:rPr>
          <w:b/>
        </w:rPr>
      </w:pPr>
      <w:r w:rsidRPr="005C1EC8">
        <w:rPr>
          <w:b/>
        </w:rPr>
        <w:t xml:space="preserve">Appendix 2 – </w:t>
      </w:r>
    </w:p>
    <w:p w:rsidR="00655855" w:rsidRDefault="00655855" w:rsidP="00655855"/>
    <w:p w:rsidR="00655855" w:rsidRPr="00655855" w:rsidRDefault="00655855" w:rsidP="00655855">
      <w:r>
        <w:rPr>
          <w:noProof/>
        </w:rPr>
        <w:drawing>
          <wp:inline distT="0" distB="0" distL="0" distR="0">
            <wp:extent cx="8863330" cy="4620536"/>
            <wp:effectExtent l="0" t="0" r="0" b="0"/>
            <wp:docPr id="9" name="Picture 9" descr="Scotland's Tertiary Quality Enhancement Framework - Scottish Fund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land's Tertiary Quality Enhancement Framework - Scottish Funding Cou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3330" cy="4620536"/>
                    </a:xfrm>
                    <a:prstGeom prst="rect">
                      <a:avLst/>
                    </a:prstGeom>
                    <a:noFill/>
                    <a:ln>
                      <a:noFill/>
                    </a:ln>
                  </pic:spPr>
                </pic:pic>
              </a:graphicData>
            </a:graphic>
          </wp:inline>
        </w:drawing>
      </w:r>
    </w:p>
    <w:sectPr w:rsidR="00655855" w:rsidRPr="00655855" w:rsidSect="00103A08">
      <w:pgSz w:w="16838" w:h="11906" w:orient="landscape"/>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E0B" w:rsidRDefault="00AD1E0B" w:rsidP="00074B87">
      <w:pPr>
        <w:spacing w:after="0" w:line="240" w:lineRule="auto"/>
      </w:pPr>
      <w:r>
        <w:separator/>
      </w:r>
    </w:p>
  </w:endnote>
  <w:endnote w:type="continuationSeparator" w:id="0">
    <w:p w:rsidR="00AD1E0B" w:rsidRDefault="00AD1E0B" w:rsidP="00074B87">
      <w:pPr>
        <w:spacing w:after="0" w:line="240" w:lineRule="auto"/>
      </w:pPr>
      <w:r>
        <w:continuationSeparator/>
      </w:r>
    </w:p>
  </w:endnote>
  <w:endnote w:type="continuationNotice" w:id="1">
    <w:p w:rsidR="00AD1E0B" w:rsidRDefault="00AD1E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A56" w:rsidRDefault="00520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A56" w:rsidRDefault="00520A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A56" w:rsidRDefault="00520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E0B" w:rsidRDefault="00AD1E0B" w:rsidP="00074B87">
      <w:pPr>
        <w:spacing w:after="0" w:line="240" w:lineRule="auto"/>
      </w:pPr>
      <w:r>
        <w:separator/>
      </w:r>
    </w:p>
  </w:footnote>
  <w:footnote w:type="continuationSeparator" w:id="0">
    <w:p w:rsidR="00AD1E0B" w:rsidRDefault="00AD1E0B" w:rsidP="00074B87">
      <w:pPr>
        <w:spacing w:after="0" w:line="240" w:lineRule="auto"/>
      </w:pPr>
      <w:r>
        <w:continuationSeparator/>
      </w:r>
    </w:p>
  </w:footnote>
  <w:footnote w:type="continuationNotice" w:id="1">
    <w:p w:rsidR="00AD1E0B" w:rsidRDefault="00AD1E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A56" w:rsidRDefault="00520A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567" w:rsidRDefault="00972567" w:rsidP="00EC47CF">
    <w:pPr>
      <w:pStyle w:val="Header"/>
      <w:jc w:val="center"/>
    </w:pPr>
  </w:p>
  <w:p w:rsidR="00972567" w:rsidRDefault="00972567" w:rsidP="00BB59FA">
    <w:pPr>
      <w:pStyle w:val="Header"/>
      <w:jc w:val="right"/>
    </w:pPr>
    <w:r>
      <w:rPr>
        <w:noProof/>
      </w:rPr>
      <w:drawing>
        <wp:inline distT="0" distB="0" distL="0" distR="0" wp14:anchorId="3CF07E3D" wp14:editId="7127B709">
          <wp:extent cx="16954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078" cy="68686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567" w:rsidRDefault="00972567" w:rsidP="005448D5">
    <w:pPr>
      <w:pStyle w:val="Header"/>
      <w:jc w:val="right"/>
    </w:pPr>
    <w:r>
      <w:rPr>
        <w:noProof/>
      </w:rPr>
      <w:drawing>
        <wp:inline distT="0" distB="0" distL="0" distR="0" wp14:anchorId="1BA5BC0C" wp14:editId="402BE1DD">
          <wp:extent cx="16954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078" cy="6868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27FE"/>
    <w:multiLevelType w:val="multilevel"/>
    <w:tmpl w:val="6A907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B066011"/>
    <w:multiLevelType w:val="multilevel"/>
    <w:tmpl w:val="4EA6A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E7E7DD1"/>
    <w:multiLevelType w:val="hybridMultilevel"/>
    <w:tmpl w:val="085AD5B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F122DCB"/>
    <w:multiLevelType w:val="hybridMultilevel"/>
    <w:tmpl w:val="1088B4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4FC1DC2"/>
    <w:multiLevelType w:val="multilevel"/>
    <w:tmpl w:val="94DA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642850"/>
    <w:multiLevelType w:val="hybridMultilevel"/>
    <w:tmpl w:val="612E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73E4C"/>
    <w:multiLevelType w:val="multilevel"/>
    <w:tmpl w:val="345AD554"/>
    <w:lvl w:ilvl="0">
      <w:start w:val="1"/>
      <w:numFmt w:val="decimal"/>
      <w:lvlText w:val="%1"/>
      <w:lvlJc w:val="left"/>
      <w:pPr>
        <w:ind w:left="6958"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7F33F20"/>
    <w:multiLevelType w:val="hybridMultilevel"/>
    <w:tmpl w:val="97FC1366"/>
    <w:lvl w:ilvl="0" w:tplc="08090001">
      <w:start w:val="1"/>
      <w:numFmt w:val="bullet"/>
      <w:lvlText w:val=""/>
      <w:lvlJc w:val="left"/>
      <w:pPr>
        <w:ind w:left="770" w:hanging="360"/>
      </w:pPr>
      <w:rPr>
        <w:rFonts w:ascii="Symbol" w:hAnsi="Symbol" w:hint="default"/>
      </w:rPr>
    </w:lvl>
    <w:lvl w:ilvl="1" w:tplc="08090001">
      <w:start w:val="1"/>
      <w:numFmt w:val="bullet"/>
      <w:lvlText w:val=""/>
      <w:lvlJc w:val="left"/>
      <w:pPr>
        <w:ind w:left="1490" w:hanging="360"/>
      </w:pPr>
      <w:rPr>
        <w:rFonts w:ascii="Symbol" w:hAnsi="Symbol"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2A583A6B"/>
    <w:multiLevelType w:val="multilevel"/>
    <w:tmpl w:val="9000DED8"/>
    <w:lvl w:ilvl="0">
      <w:start w:val="4"/>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2A6C3C04"/>
    <w:multiLevelType w:val="hybridMultilevel"/>
    <w:tmpl w:val="F880CF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307546E"/>
    <w:multiLevelType w:val="hybridMultilevel"/>
    <w:tmpl w:val="8570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38483B"/>
    <w:multiLevelType w:val="multilevel"/>
    <w:tmpl w:val="776494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83857D4"/>
    <w:multiLevelType w:val="hybridMultilevel"/>
    <w:tmpl w:val="B8726F2C"/>
    <w:lvl w:ilvl="0" w:tplc="5372CDE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3262C4"/>
    <w:multiLevelType w:val="multilevel"/>
    <w:tmpl w:val="6A907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626253F"/>
    <w:multiLevelType w:val="hybridMultilevel"/>
    <w:tmpl w:val="562EB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2E77CC"/>
    <w:multiLevelType w:val="hybridMultilevel"/>
    <w:tmpl w:val="2D2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B843DA"/>
    <w:multiLevelType w:val="hybridMultilevel"/>
    <w:tmpl w:val="778C981C"/>
    <w:lvl w:ilvl="0" w:tplc="67E8BB00">
      <w:start w:val="3"/>
      <w:numFmt w:val="decimal"/>
      <w:lvlText w:val="%1"/>
      <w:lvlJc w:val="left"/>
      <w:pPr>
        <w:ind w:left="7166" w:hanging="360"/>
      </w:pPr>
      <w:rPr>
        <w:rFonts w:hint="default"/>
      </w:rPr>
    </w:lvl>
    <w:lvl w:ilvl="1" w:tplc="08090019">
      <w:start w:val="1"/>
      <w:numFmt w:val="lowerLetter"/>
      <w:lvlText w:val="%2."/>
      <w:lvlJc w:val="left"/>
      <w:pPr>
        <w:ind w:left="7886" w:hanging="360"/>
      </w:pPr>
    </w:lvl>
    <w:lvl w:ilvl="2" w:tplc="0809001B">
      <w:start w:val="1"/>
      <w:numFmt w:val="lowerRoman"/>
      <w:lvlText w:val="%3."/>
      <w:lvlJc w:val="right"/>
      <w:pPr>
        <w:ind w:left="8606" w:hanging="180"/>
      </w:pPr>
    </w:lvl>
    <w:lvl w:ilvl="3" w:tplc="0809000F" w:tentative="1">
      <w:start w:val="1"/>
      <w:numFmt w:val="decimal"/>
      <w:lvlText w:val="%4."/>
      <w:lvlJc w:val="left"/>
      <w:pPr>
        <w:ind w:left="9326" w:hanging="360"/>
      </w:pPr>
    </w:lvl>
    <w:lvl w:ilvl="4" w:tplc="08090019" w:tentative="1">
      <w:start w:val="1"/>
      <w:numFmt w:val="lowerLetter"/>
      <w:lvlText w:val="%5."/>
      <w:lvlJc w:val="left"/>
      <w:pPr>
        <w:ind w:left="10046" w:hanging="360"/>
      </w:pPr>
    </w:lvl>
    <w:lvl w:ilvl="5" w:tplc="0809001B" w:tentative="1">
      <w:start w:val="1"/>
      <w:numFmt w:val="lowerRoman"/>
      <w:lvlText w:val="%6."/>
      <w:lvlJc w:val="right"/>
      <w:pPr>
        <w:ind w:left="10766" w:hanging="180"/>
      </w:pPr>
    </w:lvl>
    <w:lvl w:ilvl="6" w:tplc="0809000F" w:tentative="1">
      <w:start w:val="1"/>
      <w:numFmt w:val="decimal"/>
      <w:lvlText w:val="%7."/>
      <w:lvlJc w:val="left"/>
      <w:pPr>
        <w:ind w:left="11486" w:hanging="360"/>
      </w:pPr>
    </w:lvl>
    <w:lvl w:ilvl="7" w:tplc="08090019" w:tentative="1">
      <w:start w:val="1"/>
      <w:numFmt w:val="lowerLetter"/>
      <w:lvlText w:val="%8."/>
      <w:lvlJc w:val="left"/>
      <w:pPr>
        <w:ind w:left="12206" w:hanging="360"/>
      </w:pPr>
    </w:lvl>
    <w:lvl w:ilvl="8" w:tplc="0809001B" w:tentative="1">
      <w:start w:val="1"/>
      <w:numFmt w:val="lowerRoman"/>
      <w:lvlText w:val="%9."/>
      <w:lvlJc w:val="right"/>
      <w:pPr>
        <w:ind w:left="12926" w:hanging="180"/>
      </w:pPr>
    </w:lvl>
  </w:abstractNum>
  <w:abstractNum w:abstractNumId="17" w15:restartNumberingAfterBreak="0">
    <w:nsid w:val="7BC048D6"/>
    <w:multiLevelType w:val="multilevel"/>
    <w:tmpl w:val="F1D87652"/>
    <w:lvl w:ilvl="0">
      <w:start w:val="6"/>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abstractNumId w:val="14"/>
  </w:num>
  <w:num w:numId="2">
    <w:abstractNumId w:val="12"/>
  </w:num>
  <w:num w:numId="3">
    <w:abstractNumId w:val="10"/>
  </w:num>
  <w:num w:numId="4">
    <w:abstractNumId w:val="15"/>
  </w:num>
  <w:num w:numId="5">
    <w:abstractNumId w:val="6"/>
  </w:num>
  <w:num w:numId="6">
    <w:abstractNumId w:val="7"/>
  </w:num>
  <w:num w:numId="7">
    <w:abstractNumId w:val="5"/>
  </w:num>
  <w:num w:numId="8">
    <w:abstractNumId w:val="11"/>
  </w:num>
  <w:num w:numId="9">
    <w:abstractNumId w:val="16"/>
  </w:num>
  <w:num w:numId="10">
    <w:abstractNumId w:val="8"/>
  </w:num>
  <w:num w:numId="11">
    <w:abstractNumId w:val="0"/>
  </w:num>
  <w:num w:numId="12">
    <w:abstractNumId w:val="13"/>
  </w:num>
  <w:num w:numId="13">
    <w:abstractNumId w:val="17"/>
  </w:num>
  <w:num w:numId="14">
    <w:abstractNumId w:val="3"/>
  </w:num>
  <w:num w:numId="15">
    <w:abstractNumId w:val="4"/>
  </w:num>
  <w:num w:numId="16">
    <w:abstractNumId w:val="9"/>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99B"/>
    <w:rsid w:val="0000253D"/>
    <w:rsid w:val="000043E7"/>
    <w:rsid w:val="00005FBD"/>
    <w:rsid w:val="000348F9"/>
    <w:rsid w:val="00047518"/>
    <w:rsid w:val="00074AD9"/>
    <w:rsid w:val="00074B87"/>
    <w:rsid w:val="00090ECE"/>
    <w:rsid w:val="00095C0E"/>
    <w:rsid w:val="000A0D09"/>
    <w:rsid w:val="000A2F32"/>
    <w:rsid w:val="000E0015"/>
    <w:rsid w:val="000E425B"/>
    <w:rsid w:val="000E62D8"/>
    <w:rsid w:val="0010119C"/>
    <w:rsid w:val="00103A08"/>
    <w:rsid w:val="001045EF"/>
    <w:rsid w:val="0010770F"/>
    <w:rsid w:val="0011040B"/>
    <w:rsid w:val="00113880"/>
    <w:rsid w:val="00125561"/>
    <w:rsid w:val="00126112"/>
    <w:rsid w:val="0014116B"/>
    <w:rsid w:val="0014199B"/>
    <w:rsid w:val="00143B8A"/>
    <w:rsid w:val="00146617"/>
    <w:rsid w:val="001600DD"/>
    <w:rsid w:val="00166531"/>
    <w:rsid w:val="00172B59"/>
    <w:rsid w:val="00177B85"/>
    <w:rsid w:val="00182A5F"/>
    <w:rsid w:val="0019513A"/>
    <w:rsid w:val="001C699B"/>
    <w:rsid w:val="001C785C"/>
    <w:rsid w:val="001D3BDE"/>
    <w:rsid w:val="001D62D9"/>
    <w:rsid w:val="001F32BD"/>
    <w:rsid w:val="0020161E"/>
    <w:rsid w:val="00227D42"/>
    <w:rsid w:val="00232CE7"/>
    <w:rsid w:val="0025786C"/>
    <w:rsid w:val="00283757"/>
    <w:rsid w:val="0029764B"/>
    <w:rsid w:val="002A177F"/>
    <w:rsid w:val="002B63B4"/>
    <w:rsid w:val="002C20CA"/>
    <w:rsid w:val="002C6846"/>
    <w:rsid w:val="002D006F"/>
    <w:rsid w:val="002D07C0"/>
    <w:rsid w:val="002D579A"/>
    <w:rsid w:val="002D61D0"/>
    <w:rsid w:val="00303249"/>
    <w:rsid w:val="003057EC"/>
    <w:rsid w:val="00323FE5"/>
    <w:rsid w:val="003244CE"/>
    <w:rsid w:val="00325CBD"/>
    <w:rsid w:val="00335530"/>
    <w:rsid w:val="003449B0"/>
    <w:rsid w:val="00344C9C"/>
    <w:rsid w:val="00351300"/>
    <w:rsid w:val="00351870"/>
    <w:rsid w:val="003612D6"/>
    <w:rsid w:val="003614AC"/>
    <w:rsid w:val="0036239C"/>
    <w:rsid w:val="00371F4D"/>
    <w:rsid w:val="00380AD7"/>
    <w:rsid w:val="00396B38"/>
    <w:rsid w:val="003A0AAB"/>
    <w:rsid w:val="003A59B8"/>
    <w:rsid w:val="003D20B1"/>
    <w:rsid w:val="003E0207"/>
    <w:rsid w:val="003E58C8"/>
    <w:rsid w:val="003E6513"/>
    <w:rsid w:val="003E6F60"/>
    <w:rsid w:val="003F5B57"/>
    <w:rsid w:val="00401ACE"/>
    <w:rsid w:val="004149F6"/>
    <w:rsid w:val="00426EE5"/>
    <w:rsid w:val="00430A25"/>
    <w:rsid w:val="004461A7"/>
    <w:rsid w:val="00476783"/>
    <w:rsid w:val="00491987"/>
    <w:rsid w:val="004A23B1"/>
    <w:rsid w:val="004A4F9D"/>
    <w:rsid w:val="004A7646"/>
    <w:rsid w:val="004B14C3"/>
    <w:rsid w:val="004B74E0"/>
    <w:rsid w:val="004C4E6C"/>
    <w:rsid w:val="004C7BC6"/>
    <w:rsid w:val="004D5105"/>
    <w:rsid w:val="004F2C8A"/>
    <w:rsid w:val="005045F1"/>
    <w:rsid w:val="00520A56"/>
    <w:rsid w:val="005240AE"/>
    <w:rsid w:val="0052657C"/>
    <w:rsid w:val="00534FEB"/>
    <w:rsid w:val="005448D5"/>
    <w:rsid w:val="00555152"/>
    <w:rsid w:val="00564CAD"/>
    <w:rsid w:val="00582776"/>
    <w:rsid w:val="00591553"/>
    <w:rsid w:val="005B1FB5"/>
    <w:rsid w:val="005B69EB"/>
    <w:rsid w:val="005B6F3A"/>
    <w:rsid w:val="005C1EC8"/>
    <w:rsid w:val="005C3328"/>
    <w:rsid w:val="005D139C"/>
    <w:rsid w:val="005D1E5F"/>
    <w:rsid w:val="005D60DD"/>
    <w:rsid w:val="005D7548"/>
    <w:rsid w:val="00603FF8"/>
    <w:rsid w:val="00616E35"/>
    <w:rsid w:val="00626221"/>
    <w:rsid w:val="00655855"/>
    <w:rsid w:val="00664D63"/>
    <w:rsid w:val="006707C7"/>
    <w:rsid w:val="00684C2C"/>
    <w:rsid w:val="006A34E1"/>
    <w:rsid w:val="006B27F5"/>
    <w:rsid w:val="006C1C7D"/>
    <w:rsid w:val="006F302A"/>
    <w:rsid w:val="006F7FEB"/>
    <w:rsid w:val="007061A3"/>
    <w:rsid w:val="00730CC8"/>
    <w:rsid w:val="007413B0"/>
    <w:rsid w:val="0074685C"/>
    <w:rsid w:val="007753EB"/>
    <w:rsid w:val="007835CB"/>
    <w:rsid w:val="00794B29"/>
    <w:rsid w:val="007A3A78"/>
    <w:rsid w:val="007A7E55"/>
    <w:rsid w:val="007C2BB1"/>
    <w:rsid w:val="007C538C"/>
    <w:rsid w:val="007E7E29"/>
    <w:rsid w:val="007F000F"/>
    <w:rsid w:val="00805AFC"/>
    <w:rsid w:val="0080723C"/>
    <w:rsid w:val="0082090B"/>
    <w:rsid w:val="00843612"/>
    <w:rsid w:val="00856416"/>
    <w:rsid w:val="00856438"/>
    <w:rsid w:val="0086049E"/>
    <w:rsid w:val="008726FF"/>
    <w:rsid w:val="00875DE9"/>
    <w:rsid w:val="00897023"/>
    <w:rsid w:val="008A7787"/>
    <w:rsid w:val="008D7ECE"/>
    <w:rsid w:val="008F0977"/>
    <w:rsid w:val="008F4EAE"/>
    <w:rsid w:val="008F5762"/>
    <w:rsid w:val="00912B4E"/>
    <w:rsid w:val="00916051"/>
    <w:rsid w:val="00923EFF"/>
    <w:rsid w:val="00933242"/>
    <w:rsid w:val="009337A8"/>
    <w:rsid w:val="00947904"/>
    <w:rsid w:val="00972567"/>
    <w:rsid w:val="00990212"/>
    <w:rsid w:val="00994DD8"/>
    <w:rsid w:val="009A6601"/>
    <w:rsid w:val="009C1E01"/>
    <w:rsid w:val="009C696F"/>
    <w:rsid w:val="009C7333"/>
    <w:rsid w:val="009D1FEF"/>
    <w:rsid w:val="009D23BB"/>
    <w:rsid w:val="00A07342"/>
    <w:rsid w:val="00A22D8A"/>
    <w:rsid w:val="00A46CEB"/>
    <w:rsid w:val="00A60B13"/>
    <w:rsid w:val="00A625EF"/>
    <w:rsid w:val="00A76651"/>
    <w:rsid w:val="00A802B5"/>
    <w:rsid w:val="00A81BEE"/>
    <w:rsid w:val="00AA2887"/>
    <w:rsid w:val="00AB778B"/>
    <w:rsid w:val="00AC4129"/>
    <w:rsid w:val="00AD1E0B"/>
    <w:rsid w:val="00AD514F"/>
    <w:rsid w:val="00B02669"/>
    <w:rsid w:val="00B211B1"/>
    <w:rsid w:val="00B22993"/>
    <w:rsid w:val="00B22D91"/>
    <w:rsid w:val="00B261A9"/>
    <w:rsid w:val="00B43672"/>
    <w:rsid w:val="00B773AD"/>
    <w:rsid w:val="00B807D8"/>
    <w:rsid w:val="00B84FE0"/>
    <w:rsid w:val="00BA24C5"/>
    <w:rsid w:val="00BA488D"/>
    <w:rsid w:val="00BB59FA"/>
    <w:rsid w:val="00BB6ADD"/>
    <w:rsid w:val="00BD5789"/>
    <w:rsid w:val="00BE1B26"/>
    <w:rsid w:val="00BE6B3D"/>
    <w:rsid w:val="00C22B33"/>
    <w:rsid w:val="00C42079"/>
    <w:rsid w:val="00C4480E"/>
    <w:rsid w:val="00C4504B"/>
    <w:rsid w:val="00C47E13"/>
    <w:rsid w:val="00C50809"/>
    <w:rsid w:val="00C559D3"/>
    <w:rsid w:val="00C60216"/>
    <w:rsid w:val="00C615C4"/>
    <w:rsid w:val="00C70397"/>
    <w:rsid w:val="00C779B9"/>
    <w:rsid w:val="00C86025"/>
    <w:rsid w:val="00C951B5"/>
    <w:rsid w:val="00C9571C"/>
    <w:rsid w:val="00CA305E"/>
    <w:rsid w:val="00CA3AFD"/>
    <w:rsid w:val="00CA58F8"/>
    <w:rsid w:val="00CC1AC8"/>
    <w:rsid w:val="00CC4497"/>
    <w:rsid w:val="00CD47A9"/>
    <w:rsid w:val="00CE1801"/>
    <w:rsid w:val="00CE5438"/>
    <w:rsid w:val="00CE5A1D"/>
    <w:rsid w:val="00CF1DFD"/>
    <w:rsid w:val="00D0003B"/>
    <w:rsid w:val="00D031B7"/>
    <w:rsid w:val="00D0493D"/>
    <w:rsid w:val="00D14C4D"/>
    <w:rsid w:val="00D210F5"/>
    <w:rsid w:val="00D22A84"/>
    <w:rsid w:val="00D37634"/>
    <w:rsid w:val="00D41429"/>
    <w:rsid w:val="00D60699"/>
    <w:rsid w:val="00D62E79"/>
    <w:rsid w:val="00D64583"/>
    <w:rsid w:val="00D76724"/>
    <w:rsid w:val="00D77BAC"/>
    <w:rsid w:val="00D90D21"/>
    <w:rsid w:val="00D9530B"/>
    <w:rsid w:val="00DA1D50"/>
    <w:rsid w:val="00DA4547"/>
    <w:rsid w:val="00DB443E"/>
    <w:rsid w:val="00DB4B9F"/>
    <w:rsid w:val="00DB6418"/>
    <w:rsid w:val="00DC7FA4"/>
    <w:rsid w:val="00DE1343"/>
    <w:rsid w:val="00DF20FD"/>
    <w:rsid w:val="00E00AB3"/>
    <w:rsid w:val="00E01257"/>
    <w:rsid w:val="00E04C3A"/>
    <w:rsid w:val="00E07560"/>
    <w:rsid w:val="00E165F7"/>
    <w:rsid w:val="00E24EEE"/>
    <w:rsid w:val="00E42ED8"/>
    <w:rsid w:val="00E54FE3"/>
    <w:rsid w:val="00E670F6"/>
    <w:rsid w:val="00E855F3"/>
    <w:rsid w:val="00E93043"/>
    <w:rsid w:val="00E944B5"/>
    <w:rsid w:val="00EA0DC7"/>
    <w:rsid w:val="00EB1B62"/>
    <w:rsid w:val="00EC47CF"/>
    <w:rsid w:val="00EC7445"/>
    <w:rsid w:val="00EC7DCF"/>
    <w:rsid w:val="00ED61E3"/>
    <w:rsid w:val="00EE295C"/>
    <w:rsid w:val="00F05138"/>
    <w:rsid w:val="00F1167F"/>
    <w:rsid w:val="00F15114"/>
    <w:rsid w:val="00F17DBB"/>
    <w:rsid w:val="00F24A7E"/>
    <w:rsid w:val="00F5325F"/>
    <w:rsid w:val="00F55499"/>
    <w:rsid w:val="00F62FA5"/>
    <w:rsid w:val="00F827A7"/>
    <w:rsid w:val="00F90FB6"/>
    <w:rsid w:val="00F978C3"/>
    <w:rsid w:val="00FA00F1"/>
    <w:rsid w:val="00FA44F3"/>
    <w:rsid w:val="00FC7E07"/>
    <w:rsid w:val="00FD40A5"/>
    <w:rsid w:val="00FD534F"/>
    <w:rsid w:val="00FE4BE1"/>
    <w:rsid w:val="00FE775B"/>
    <w:rsid w:val="00FF5A3A"/>
    <w:rsid w:val="00FF6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BA1BC"/>
  <w15:chartTrackingRefBased/>
  <w15:docId w15:val="{E173C31A-18DA-436D-8475-7755D21E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561"/>
  </w:style>
  <w:style w:type="paragraph" w:styleId="Heading1">
    <w:name w:val="heading 1"/>
    <w:basedOn w:val="Normal"/>
    <w:next w:val="Normal"/>
    <w:link w:val="Heading1Char"/>
    <w:uiPriority w:val="9"/>
    <w:qFormat/>
    <w:rsid w:val="00074B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7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07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B87"/>
  </w:style>
  <w:style w:type="paragraph" w:styleId="Footer">
    <w:name w:val="footer"/>
    <w:basedOn w:val="Normal"/>
    <w:link w:val="FooterChar"/>
    <w:uiPriority w:val="99"/>
    <w:unhideWhenUsed/>
    <w:rsid w:val="00074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B87"/>
  </w:style>
  <w:style w:type="character" w:customStyle="1" w:styleId="Heading1Char">
    <w:name w:val="Heading 1 Char"/>
    <w:basedOn w:val="DefaultParagraphFont"/>
    <w:link w:val="Heading1"/>
    <w:uiPriority w:val="9"/>
    <w:rsid w:val="00074B8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4B87"/>
    <w:pPr>
      <w:outlineLvl w:val="9"/>
    </w:pPr>
    <w:rPr>
      <w:lang w:val="en-US"/>
    </w:rPr>
  </w:style>
  <w:style w:type="paragraph" w:styleId="TOC1">
    <w:name w:val="toc 1"/>
    <w:basedOn w:val="Normal"/>
    <w:next w:val="Normal"/>
    <w:autoRedefine/>
    <w:uiPriority w:val="39"/>
    <w:unhideWhenUsed/>
    <w:rsid w:val="00074B87"/>
    <w:pPr>
      <w:spacing w:after="100"/>
    </w:pPr>
  </w:style>
  <w:style w:type="character" w:styleId="Hyperlink">
    <w:name w:val="Hyperlink"/>
    <w:basedOn w:val="DefaultParagraphFont"/>
    <w:uiPriority w:val="99"/>
    <w:unhideWhenUsed/>
    <w:rsid w:val="00074B87"/>
    <w:rPr>
      <w:color w:val="0563C1" w:themeColor="hyperlink"/>
      <w:u w:val="single"/>
    </w:rPr>
  </w:style>
  <w:style w:type="character" w:customStyle="1" w:styleId="UnresolvedMention1">
    <w:name w:val="Unresolved Mention1"/>
    <w:basedOn w:val="DefaultParagraphFont"/>
    <w:uiPriority w:val="99"/>
    <w:semiHidden/>
    <w:unhideWhenUsed/>
    <w:rsid w:val="004D5105"/>
    <w:rPr>
      <w:color w:val="605E5C"/>
      <w:shd w:val="clear" w:color="auto" w:fill="E1DFDD"/>
    </w:rPr>
  </w:style>
  <w:style w:type="character" w:styleId="FollowedHyperlink">
    <w:name w:val="FollowedHyperlink"/>
    <w:basedOn w:val="DefaultParagraphFont"/>
    <w:uiPriority w:val="99"/>
    <w:semiHidden/>
    <w:unhideWhenUsed/>
    <w:rsid w:val="004D5105"/>
    <w:rPr>
      <w:color w:val="954F72" w:themeColor="followedHyperlink"/>
      <w:u w:val="single"/>
    </w:rPr>
  </w:style>
  <w:style w:type="paragraph" w:customStyle="1" w:styleId="paragraph">
    <w:name w:val="paragraph"/>
    <w:basedOn w:val="Normal"/>
    <w:rsid w:val="004D51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D5105"/>
  </w:style>
  <w:style w:type="character" w:customStyle="1" w:styleId="normaltextrun">
    <w:name w:val="normaltextrun"/>
    <w:basedOn w:val="DefaultParagraphFont"/>
    <w:rsid w:val="004D5105"/>
  </w:style>
  <w:style w:type="table" w:styleId="TableGrid">
    <w:name w:val="Table Grid"/>
    <w:basedOn w:val="TableNormal"/>
    <w:uiPriority w:val="39"/>
    <w:rsid w:val="002D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7B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BC6"/>
    <w:rPr>
      <w:rFonts w:ascii="Segoe UI" w:hAnsi="Segoe UI" w:cs="Segoe UI"/>
      <w:sz w:val="18"/>
      <w:szCs w:val="18"/>
    </w:rPr>
  </w:style>
  <w:style w:type="character" w:customStyle="1" w:styleId="Heading2Char">
    <w:name w:val="Heading 2 Char"/>
    <w:basedOn w:val="DefaultParagraphFont"/>
    <w:link w:val="Heading2"/>
    <w:uiPriority w:val="9"/>
    <w:rsid w:val="006707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707C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707C7"/>
    <w:pPr>
      <w:ind w:left="720"/>
      <w:contextualSpacing/>
    </w:pPr>
  </w:style>
  <w:style w:type="character" w:styleId="UnresolvedMention">
    <w:name w:val="Unresolved Mention"/>
    <w:basedOn w:val="DefaultParagraphFont"/>
    <w:uiPriority w:val="99"/>
    <w:semiHidden/>
    <w:unhideWhenUsed/>
    <w:rsid w:val="00C60216"/>
    <w:rPr>
      <w:color w:val="605E5C"/>
      <w:shd w:val="clear" w:color="auto" w:fill="E1DFDD"/>
    </w:rPr>
  </w:style>
  <w:style w:type="table" w:customStyle="1" w:styleId="TableGrid1">
    <w:name w:val="Table Grid1"/>
    <w:basedOn w:val="TableNormal"/>
    <w:next w:val="TableGrid"/>
    <w:uiPriority w:val="39"/>
    <w:rsid w:val="00BE6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5AFC"/>
    <w:pPr>
      <w:autoSpaceDE w:val="0"/>
      <w:autoSpaceDN w:val="0"/>
      <w:adjustRightInd w:val="0"/>
      <w:spacing w:after="0" w:line="240" w:lineRule="auto"/>
    </w:pPr>
    <w:rPr>
      <w:rFonts w:ascii="Arial" w:hAnsi="Arial" w:cs="Arial"/>
      <w:color w:val="000000"/>
      <w:sz w:val="24"/>
      <w:szCs w:val="24"/>
    </w:rPr>
  </w:style>
  <w:style w:type="table" w:customStyle="1" w:styleId="TableGrid31">
    <w:name w:val="Table Grid31"/>
    <w:basedOn w:val="TableNormal"/>
    <w:next w:val="TableGrid"/>
    <w:uiPriority w:val="39"/>
    <w:rsid w:val="00B7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04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04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2B33"/>
    <w:rPr>
      <w:rFonts w:ascii="Times New Roman" w:hAnsi="Times New Roman" w:cs="Times New Roman"/>
      <w:sz w:val="24"/>
      <w:szCs w:val="24"/>
    </w:rPr>
  </w:style>
  <w:style w:type="character" w:customStyle="1" w:styleId="scxw197648942">
    <w:name w:val="scxw197648942"/>
    <w:basedOn w:val="DefaultParagraphFont"/>
    <w:rsid w:val="00BA488D"/>
  </w:style>
  <w:style w:type="character" w:customStyle="1" w:styleId="scxw106224865">
    <w:name w:val="scxw106224865"/>
    <w:basedOn w:val="DefaultParagraphFont"/>
    <w:rsid w:val="00BA488D"/>
  </w:style>
  <w:style w:type="character" w:customStyle="1" w:styleId="scxw16128790">
    <w:name w:val="scxw16128790"/>
    <w:basedOn w:val="DefaultParagraphFont"/>
    <w:rsid w:val="00BA488D"/>
  </w:style>
  <w:style w:type="character" w:customStyle="1" w:styleId="scxw125198748">
    <w:name w:val="scxw125198748"/>
    <w:basedOn w:val="DefaultParagraphFont"/>
    <w:rsid w:val="00BA488D"/>
  </w:style>
  <w:style w:type="character" w:customStyle="1" w:styleId="scxw427748">
    <w:name w:val="scxw427748"/>
    <w:basedOn w:val="DefaultParagraphFont"/>
    <w:rsid w:val="00BA24C5"/>
  </w:style>
  <w:style w:type="character" w:customStyle="1" w:styleId="scxw235335961">
    <w:name w:val="scxw235335961"/>
    <w:basedOn w:val="DefaultParagraphFont"/>
    <w:rsid w:val="004A23B1"/>
  </w:style>
  <w:style w:type="character" w:customStyle="1" w:styleId="scxw108984569">
    <w:name w:val="scxw108984569"/>
    <w:basedOn w:val="DefaultParagraphFont"/>
    <w:rsid w:val="00FF64B9"/>
  </w:style>
  <w:style w:type="character" w:customStyle="1" w:styleId="scxw233717951">
    <w:name w:val="scxw233717951"/>
    <w:basedOn w:val="DefaultParagraphFont"/>
    <w:rsid w:val="00E07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851">
      <w:bodyDiv w:val="1"/>
      <w:marLeft w:val="0"/>
      <w:marRight w:val="0"/>
      <w:marTop w:val="0"/>
      <w:marBottom w:val="0"/>
      <w:divBdr>
        <w:top w:val="none" w:sz="0" w:space="0" w:color="auto"/>
        <w:left w:val="none" w:sz="0" w:space="0" w:color="auto"/>
        <w:bottom w:val="none" w:sz="0" w:space="0" w:color="auto"/>
        <w:right w:val="none" w:sz="0" w:space="0" w:color="auto"/>
      </w:divBdr>
    </w:div>
    <w:div w:id="10881897">
      <w:bodyDiv w:val="1"/>
      <w:marLeft w:val="0"/>
      <w:marRight w:val="0"/>
      <w:marTop w:val="0"/>
      <w:marBottom w:val="0"/>
      <w:divBdr>
        <w:top w:val="none" w:sz="0" w:space="0" w:color="auto"/>
        <w:left w:val="none" w:sz="0" w:space="0" w:color="auto"/>
        <w:bottom w:val="none" w:sz="0" w:space="0" w:color="auto"/>
        <w:right w:val="none" w:sz="0" w:space="0" w:color="auto"/>
      </w:divBdr>
    </w:div>
    <w:div w:id="265776153">
      <w:bodyDiv w:val="1"/>
      <w:marLeft w:val="0"/>
      <w:marRight w:val="0"/>
      <w:marTop w:val="0"/>
      <w:marBottom w:val="0"/>
      <w:divBdr>
        <w:top w:val="none" w:sz="0" w:space="0" w:color="auto"/>
        <w:left w:val="none" w:sz="0" w:space="0" w:color="auto"/>
        <w:bottom w:val="none" w:sz="0" w:space="0" w:color="auto"/>
        <w:right w:val="none" w:sz="0" w:space="0" w:color="auto"/>
      </w:divBdr>
    </w:div>
    <w:div w:id="335109800">
      <w:bodyDiv w:val="1"/>
      <w:marLeft w:val="0"/>
      <w:marRight w:val="0"/>
      <w:marTop w:val="0"/>
      <w:marBottom w:val="0"/>
      <w:divBdr>
        <w:top w:val="none" w:sz="0" w:space="0" w:color="auto"/>
        <w:left w:val="none" w:sz="0" w:space="0" w:color="auto"/>
        <w:bottom w:val="none" w:sz="0" w:space="0" w:color="auto"/>
        <w:right w:val="none" w:sz="0" w:space="0" w:color="auto"/>
      </w:divBdr>
    </w:div>
    <w:div w:id="351035563">
      <w:bodyDiv w:val="1"/>
      <w:marLeft w:val="0"/>
      <w:marRight w:val="0"/>
      <w:marTop w:val="0"/>
      <w:marBottom w:val="0"/>
      <w:divBdr>
        <w:top w:val="none" w:sz="0" w:space="0" w:color="auto"/>
        <w:left w:val="none" w:sz="0" w:space="0" w:color="auto"/>
        <w:bottom w:val="none" w:sz="0" w:space="0" w:color="auto"/>
        <w:right w:val="none" w:sz="0" w:space="0" w:color="auto"/>
      </w:divBdr>
    </w:div>
    <w:div w:id="388112314">
      <w:bodyDiv w:val="1"/>
      <w:marLeft w:val="0"/>
      <w:marRight w:val="0"/>
      <w:marTop w:val="0"/>
      <w:marBottom w:val="0"/>
      <w:divBdr>
        <w:top w:val="none" w:sz="0" w:space="0" w:color="auto"/>
        <w:left w:val="none" w:sz="0" w:space="0" w:color="auto"/>
        <w:bottom w:val="none" w:sz="0" w:space="0" w:color="auto"/>
        <w:right w:val="none" w:sz="0" w:space="0" w:color="auto"/>
      </w:divBdr>
    </w:div>
    <w:div w:id="38950284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24">
          <w:marLeft w:val="0"/>
          <w:marRight w:val="0"/>
          <w:marTop w:val="0"/>
          <w:marBottom w:val="0"/>
          <w:divBdr>
            <w:top w:val="none" w:sz="0" w:space="0" w:color="auto"/>
            <w:left w:val="none" w:sz="0" w:space="0" w:color="auto"/>
            <w:bottom w:val="none" w:sz="0" w:space="0" w:color="auto"/>
            <w:right w:val="none" w:sz="0" w:space="0" w:color="auto"/>
          </w:divBdr>
        </w:div>
        <w:div w:id="612135885">
          <w:marLeft w:val="0"/>
          <w:marRight w:val="0"/>
          <w:marTop w:val="0"/>
          <w:marBottom w:val="0"/>
          <w:divBdr>
            <w:top w:val="none" w:sz="0" w:space="0" w:color="auto"/>
            <w:left w:val="none" w:sz="0" w:space="0" w:color="auto"/>
            <w:bottom w:val="none" w:sz="0" w:space="0" w:color="auto"/>
            <w:right w:val="none" w:sz="0" w:space="0" w:color="auto"/>
          </w:divBdr>
        </w:div>
        <w:div w:id="545219671">
          <w:marLeft w:val="0"/>
          <w:marRight w:val="0"/>
          <w:marTop w:val="0"/>
          <w:marBottom w:val="0"/>
          <w:divBdr>
            <w:top w:val="none" w:sz="0" w:space="0" w:color="auto"/>
            <w:left w:val="none" w:sz="0" w:space="0" w:color="auto"/>
            <w:bottom w:val="none" w:sz="0" w:space="0" w:color="auto"/>
            <w:right w:val="none" w:sz="0" w:space="0" w:color="auto"/>
          </w:divBdr>
        </w:div>
        <w:div w:id="246623803">
          <w:marLeft w:val="0"/>
          <w:marRight w:val="0"/>
          <w:marTop w:val="0"/>
          <w:marBottom w:val="0"/>
          <w:divBdr>
            <w:top w:val="none" w:sz="0" w:space="0" w:color="auto"/>
            <w:left w:val="none" w:sz="0" w:space="0" w:color="auto"/>
            <w:bottom w:val="none" w:sz="0" w:space="0" w:color="auto"/>
            <w:right w:val="none" w:sz="0" w:space="0" w:color="auto"/>
          </w:divBdr>
        </w:div>
      </w:divsChild>
    </w:div>
    <w:div w:id="526600078">
      <w:bodyDiv w:val="1"/>
      <w:marLeft w:val="0"/>
      <w:marRight w:val="0"/>
      <w:marTop w:val="0"/>
      <w:marBottom w:val="0"/>
      <w:divBdr>
        <w:top w:val="none" w:sz="0" w:space="0" w:color="auto"/>
        <w:left w:val="none" w:sz="0" w:space="0" w:color="auto"/>
        <w:bottom w:val="none" w:sz="0" w:space="0" w:color="auto"/>
        <w:right w:val="none" w:sz="0" w:space="0" w:color="auto"/>
      </w:divBdr>
    </w:div>
    <w:div w:id="767431732">
      <w:bodyDiv w:val="1"/>
      <w:marLeft w:val="0"/>
      <w:marRight w:val="0"/>
      <w:marTop w:val="0"/>
      <w:marBottom w:val="0"/>
      <w:divBdr>
        <w:top w:val="none" w:sz="0" w:space="0" w:color="auto"/>
        <w:left w:val="none" w:sz="0" w:space="0" w:color="auto"/>
        <w:bottom w:val="none" w:sz="0" w:space="0" w:color="auto"/>
        <w:right w:val="none" w:sz="0" w:space="0" w:color="auto"/>
      </w:divBdr>
      <w:divsChild>
        <w:div w:id="1337733839">
          <w:marLeft w:val="0"/>
          <w:marRight w:val="0"/>
          <w:marTop w:val="0"/>
          <w:marBottom w:val="0"/>
          <w:divBdr>
            <w:top w:val="none" w:sz="0" w:space="0" w:color="auto"/>
            <w:left w:val="none" w:sz="0" w:space="0" w:color="auto"/>
            <w:bottom w:val="none" w:sz="0" w:space="0" w:color="auto"/>
            <w:right w:val="none" w:sz="0" w:space="0" w:color="auto"/>
          </w:divBdr>
        </w:div>
        <w:div w:id="952593210">
          <w:marLeft w:val="0"/>
          <w:marRight w:val="0"/>
          <w:marTop w:val="0"/>
          <w:marBottom w:val="0"/>
          <w:divBdr>
            <w:top w:val="none" w:sz="0" w:space="0" w:color="auto"/>
            <w:left w:val="none" w:sz="0" w:space="0" w:color="auto"/>
            <w:bottom w:val="none" w:sz="0" w:space="0" w:color="auto"/>
            <w:right w:val="none" w:sz="0" w:space="0" w:color="auto"/>
          </w:divBdr>
        </w:div>
        <w:div w:id="1068069498">
          <w:marLeft w:val="0"/>
          <w:marRight w:val="0"/>
          <w:marTop w:val="0"/>
          <w:marBottom w:val="0"/>
          <w:divBdr>
            <w:top w:val="none" w:sz="0" w:space="0" w:color="auto"/>
            <w:left w:val="none" w:sz="0" w:space="0" w:color="auto"/>
            <w:bottom w:val="none" w:sz="0" w:space="0" w:color="auto"/>
            <w:right w:val="none" w:sz="0" w:space="0" w:color="auto"/>
          </w:divBdr>
        </w:div>
        <w:div w:id="1840927374">
          <w:marLeft w:val="0"/>
          <w:marRight w:val="0"/>
          <w:marTop w:val="0"/>
          <w:marBottom w:val="0"/>
          <w:divBdr>
            <w:top w:val="none" w:sz="0" w:space="0" w:color="auto"/>
            <w:left w:val="none" w:sz="0" w:space="0" w:color="auto"/>
            <w:bottom w:val="none" w:sz="0" w:space="0" w:color="auto"/>
            <w:right w:val="none" w:sz="0" w:space="0" w:color="auto"/>
          </w:divBdr>
        </w:div>
        <w:div w:id="1062755939">
          <w:marLeft w:val="0"/>
          <w:marRight w:val="0"/>
          <w:marTop w:val="0"/>
          <w:marBottom w:val="0"/>
          <w:divBdr>
            <w:top w:val="none" w:sz="0" w:space="0" w:color="auto"/>
            <w:left w:val="none" w:sz="0" w:space="0" w:color="auto"/>
            <w:bottom w:val="none" w:sz="0" w:space="0" w:color="auto"/>
            <w:right w:val="none" w:sz="0" w:space="0" w:color="auto"/>
          </w:divBdr>
        </w:div>
        <w:div w:id="479545785">
          <w:marLeft w:val="0"/>
          <w:marRight w:val="0"/>
          <w:marTop w:val="0"/>
          <w:marBottom w:val="0"/>
          <w:divBdr>
            <w:top w:val="none" w:sz="0" w:space="0" w:color="auto"/>
            <w:left w:val="none" w:sz="0" w:space="0" w:color="auto"/>
            <w:bottom w:val="none" w:sz="0" w:space="0" w:color="auto"/>
            <w:right w:val="none" w:sz="0" w:space="0" w:color="auto"/>
          </w:divBdr>
        </w:div>
        <w:div w:id="1642610047">
          <w:marLeft w:val="0"/>
          <w:marRight w:val="0"/>
          <w:marTop w:val="0"/>
          <w:marBottom w:val="0"/>
          <w:divBdr>
            <w:top w:val="none" w:sz="0" w:space="0" w:color="auto"/>
            <w:left w:val="none" w:sz="0" w:space="0" w:color="auto"/>
            <w:bottom w:val="none" w:sz="0" w:space="0" w:color="auto"/>
            <w:right w:val="none" w:sz="0" w:space="0" w:color="auto"/>
          </w:divBdr>
        </w:div>
        <w:div w:id="1128354740">
          <w:marLeft w:val="0"/>
          <w:marRight w:val="0"/>
          <w:marTop w:val="0"/>
          <w:marBottom w:val="0"/>
          <w:divBdr>
            <w:top w:val="none" w:sz="0" w:space="0" w:color="auto"/>
            <w:left w:val="none" w:sz="0" w:space="0" w:color="auto"/>
            <w:bottom w:val="none" w:sz="0" w:space="0" w:color="auto"/>
            <w:right w:val="none" w:sz="0" w:space="0" w:color="auto"/>
          </w:divBdr>
        </w:div>
        <w:div w:id="1056929328">
          <w:marLeft w:val="0"/>
          <w:marRight w:val="0"/>
          <w:marTop w:val="0"/>
          <w:marBottom w:val="0"/>
          <w:divBdr>
            <w:top w:val="none" w:sz="0" w:space="0" w:color="auto"/>
            <w:left w:val="none" w:sz="0" w:space="0" w:color="auto"/>
            <w:bottom w:val="none" w:sz="0" w:space="0" w:color="auto"/>
            <w:right w:val="none" w:sz="0" w:space="0" w:color="auto"/>
          </w:divBdr>
        </w:div>
      </w:divsChild>
    </w:div>
    <w:div w:id="981153692">
      <w:bodyDiv w:val="1"/>
      <w:marLeft w:val="0"/>
      <w:marRight w:val="0"/>
      <w:marTop w:val="0"/>
      <w:marBottom w:val="0"/>
      <w:divBdr>
        <w:top w:val="none" w:sz="0" w:space="0" w:color="auto"/>
        <w:left w:val="none" w:sz="0" w:space="0" w:color="auto"/>
        <w:bottom w:val="none" w:sz="0" w:space="0" w:color="auto"/>
        <w:right w:val="none" w:sz="0" w:space="0" w:color="auto"/>
      </w:divBdr>
    </w:div>
    <w:div w:id="1173959386">
      <w:bodyDiv w:val="1"/>
      <w:marLeft w:val="0"/>
      <w:marRight w:val="0"/>
      <w:marTop w:val="0"/>
      <w:marBottom w:val="0"/>
      <w:divBdr>
        <w:top w:val="none" w:sz="0" w:space="0" w:color="auto"/>
        <w:left w:val="none" w:sz="0" w:space="0" w:color="auto"/>
        <w:bottom w:val="none" w:sz="0" w:space="0" w:color="auto"/>
        <w:right w:val="none" w:sz="0" w:space="0" w:color="auto"/>
      </w:divBdr>
      <w:divsChild>
        <w:div w:id="133379206">
          <w:marLeft w:val="0"/>
          <w:marRight w:val="0"/>
          <w:marTop w:val="0"/>
          <w:marBottom w:val="0"/>
          <w:divBdr>
            <w:top w:val="none" w:sz="0" w:space="0" w:color="auto"/>
            <w:left w:val="none" w:sz="0" w:space="0" w:color="auto"/>
            <w:bottom w:val="none" w:sz="0" w:space="0" w:color="auto"/>
            <w:right w:val="none" w:sz="0" w:space="0" w:color="auto"/>
          </w:divBdr>
        </w:div>
        <w:div w:id="218516517">
          <w:marLeft w:val="0"/>
          <w:marRight w:val="0"/>
          <w:marTop w:val="0"/>
          <w:marBottom w:val="0"/>
          <w:divBdr>
            <w:top w:val="none" w:sz="0" w:space="0" w:color="auto"/>
            <w:left w:val="none" w:sz="0" w:space="0" w:color="auto"/>
            <w:bottom w:val="none" w:sz="0" w:space="0" w:color="auto"/>
            <w:right w:val="none" w:sz="0" w:space="0" w:color="auto"/>
          </w:divBdr>
        </w:div>
        <w:div w:id="941692960">
          <w:marLeft w:val="0"/>
          <w:marRight w:val="0"/>
          <w:marTop w:val="0"/>
          <w:marBottom w:val="0"/>
          <w:divBdr>
            <w:top w:val="none" w:sz="0" w:space="0" w:color="auto"/>
            <w:left w:val="none" w:sz="0" w:space="0" w:color="auto"/>
            <w:bottom w:val="none" w:sz="0" w:space="0" w:color="auto"/>
            <w:right w:val="none" w:sz="0" w:space="0" w:color="auto"/>
          </w:divBdr>
        </w:div>
      </w:divsChild>
    </w:div>
    <w:div w:id="1319264837">
      <w:bodyDiv w:val="1"/>
      <w:marLeft w:val="0"/>
      <w:marRight w:val="0"/>
      <w:marTop w:val="0"/>
      <w:marBottom w:val="0"/>
      <w:divBdr>
        <w:top w:val="none" w:sz="0" w:space="0" w:color="auto"/>
        <w:left w:val="none" w:sz="0" w:space="0" w:color="auto"/>
        <w:bottom w:val="none" w:sz="0" w:space="0" w:color="auto"/>
        <w:right w:val="none" w:sz="0" w:space="0" w:color="auto"/>
      </w:divBdr>
      <w:divsChild>
        <w:div w:id="600574435">
          <w:marLeft w:val="446"/>
          <w:marRight w:val="0"/>
          <w:marTop w:val="0"/>
          <w:marBottom w:val="0"/>
          <w:divBdr>
            <w:top w:val="none" w:sz="0" w:space="0" w:color="auto"/>
            <w:left w:val="none" w:sz="0" w:space="0" w:color="auto"/>
            <w:bottom w:val="none" w:sz="0" w:space="0" w:color="auto"/>
            <w:right w:val="none" w:sz="0" w:space="0" w:color="auto"/>
          </w:divBdr>
        </w:div>
      </w:divsChild>
    </w:div>
    <w:div w:id="1468476803">
      <w:bodyDiv w:val="1"/>
      <w:marLeft w:val="0"/>
      <w:marRight w:val="0"/>
      <w:marTop w:val="0"/>
      <w:marBottom w:val="0"/>
      <w:divBdr>
        <w:top w:val="none" w:sz="0" w:space="0" w:color="auto"/>
        <w:left w:val="none" w:sz="0" w:space="0" w:color="auto"/>
        <w:bottom w:val="none" w:sz="0" w:space="0" w:color="auto"/>
        <w:right w:val="none" w:sz="0" w:space="0" w:color="auto"/>
      </w:divBdr>
    </w:div>
    <w:div w:id="1480346985">
      <w:bodyDiv w:val="1"/>
      <w:marLeft w:val="0"/>
      <w:marRight w:val="0"/>
      <w:marTop w:val="0"/>
      <w:marBottom w:val="0"/>
      <w:divBdr>
        <w:top w:val="none" w:sz="0" w:space="0" w:color="auto"/>
        <w:left w:val="none" w:sz="0" w:space="0" w:color="auto"/>
        <w:bottom w:val="none" w:sz="0" w:space="0" w:color="auto"/>
        <w:right w:val="none" w:sz="0" w:space="0" w:color="auto"/>
      </w:divBdr>
      <w:divsChild>
        <w:div w:id="1014650316">
          <w:marLeft w:val="0"/>
          <w:marRight w:val="0"/>
          <w:marTop w:val="0"/>
          <w:marBottom w:val="0"/>
          <w:divBdr>
            <w:top w:val="none" w:sz="0" w:space="0" w:color="auto"/>
            <w:left w:val="none" w:sz="0" w:space="0" w:color="auto"/>
            <w:bottom w:val="none" w:sz="0" w:space="0" w:color="auto"/>
            <w:right w:val="none" w:sz="0" w:space="0" w:color="auto"/>
          </w:divBdr>
        </w:div>
        <w:div w:id="373162154">
          <w:marLeft w:val="0"/>
          <w:marRight w:val="0"/>
          <w:marTop w:val="0"/>
          <w:marBottom w:val="0"/>
          <w:divBdr>
            <w:top w:val="none" w:sz="0" w:space="0" w:color="auto"/>
            <w:left w:val="none" w:sz="0" w:space="0" w:color="auto"/>
            <w:bottom w:val="none" w:sz="0" w:space="0" w:color="auto"/>
            <w:right w:val="none" w:sz="0" w:space="0" w:color="auto"/>
          </w:divBdr>
        </w:div>
        <w:div w:id="7879110">
          <w:marLeft w:val="0"/>
          <w:marRight w:val="0"/>
          <w:marTop w:val="0"/>
          <w:marBottom w:val="0"/>
          <w:divBdr>
            <w:top w:val="none" w:sz="0" w:space="0" w:color="auto"/>
            <w:left w:val="none" w:sz="0" w:space="0" w:color="auto"/>
            <w:bottom w:val="none" w:sz="0" w:space="0" w:color="auto"/>
            <w:right w:val="none" w:sz="0" w:space="0" w:color="auto"/>
          </w:divBdr>
        </w:div>
        <w:div w:id="119156293">
          <w:marLeft w:val="0"/>
          <w:marRight w:val="0"/>
          <w:marTop w:val="0"/>
          <w:marBottom w:val="0"/>
          <w:divBdr>
            <w:top w:val="none" w:sz="0" w:space="0" w:color="auto"/>
            <w:left w:val="none" w:sz="0" w:space="0" w:color="auto"/>
            <w:bottom w:val="none" w:sz="0" w:space="0" w:color="auto"/>
            <w:right w:val="none" w:sz="0" w:space="0" w:color="auto"/>
          </w:divBdr>
        </w:div>
        <w:div w:id="745419762">
          <w:marLeft w:val="0"/>
          <w:marRight w:val="0"/>
          <w:marTop w:val="0"/>
          <w:marBottom w:val="0"/>
          <w:divBdr>
            <w:top w:val="none" w:sz="0" w:space="0" w:color="auto"/>
            <w:left w:val="none" w:sz="0" w:space="0" w:color="auto"/>
            <w:bottom w:val="none" w:sz="0" w:space="0" w:color="auto"/>
            <w:right w:val="none" w:sz="0" w:space="0" w:color="auto"/>
          </w:divBdr>
        </w:div>
        <w:div w:id="1393583388">
          <w:marLeft w:val="0"/>
          <w:marRight w:val="0"/>
          <w:marTop w:val="0"/>
          <w:marBottom w:val="0"/>
          <w:divBdr>
            <w:top w:val="none" w:sz="0" w:space="0" w:color="auto"/>
            <w:left w:val="none" w:sz="0" w:space="0" w:color="auto"/>
            <w:bottom w:val="none" w:sz="0" w:space="0" w:color="auto"/>
            <w:right w:val="none" w:sz="0" w:space="0" w:color="auto"/>
          </w:divBdr>
        </w:div>
        <w:div w:id="339354370">
          <w:marLeft w:val="0"/>
          <w:marRight w:val="0"/>
          <w:marTop w:val="0"/>
          <w:marBottom w:val="0"/>
          <w:divBdr>
            <w:top w:val="none" w:sz="0" w:space="0" w:color="auto"/>
            <w:left w:val="none" w:sz="0" w:space="0" w:color="auto"/>
            <w:bottom w:val="none" w:sz="0" w:space="0" w:color="auto"/>
            <w:right w:val="none" w:sz="0" w:space="0" w:color="auto"/>
          </w:divBdr>
        </w:div>
        <w:div w:id="263151313">
          <w:marLeft w:val="0"/>
          <w:marRight w:val="0"/>
          <w:marTop w:val="0"/>
          <w:marBottom w:val="0"/>
          <w:divBdr>
            <w:top w:val="none" w:sz="0" w:space="0" w:color="auto"/>
            <w:left w:val="none" w:sz="0" w:space="0" w:color="auto"/>
            <w:bottom w:val="none" w:sz="0" w:space="0" w:color="auto"/>
            <w:right w:val="none" w:sz="0" w:space="0" w:color="auto"/>
          </w:divBdr>
        </w:div>
        <w:div w:id="279996173">
          <w:marLeft w:val="0"/>
          <w:marRight w:val="0"/>
          <w:marTop w:val="0"/>
          <w:marBottom w:val="0"/>
          <w:divBdr>
            <w:top w:val="none" w:sz="0" w:space="0" w:color="auto"/>
            <w:left w:val="none" w:sz="0" w:space="0" w:color="auto"/>
            <w:bottom w:val="none" w:sz="0" w:space="0" w:color="auto"/>
            <w:right w:val="none" w:sz="0" w:space="0" w:color="auto"/>
          </w:divBdr>
        </w:div>
        <w:div w:id="302545787">
          <w:marLeft w:val="0"/>
          <w:marRight w:val="0"/>
          <w:marTop w:val="0"/>
          <w:marBottom w:val="0"/>
          <w:divBdr>
            <w:top w:val="none" w:sz="0" w:space="0" w:color="auto"/>
            <w:left w:val="none" w:sz="0" w:space="0" w:color="auto"/>
            <w:bottom w:val="none" w:sz="0" w:space="0" w:color="auto"/>
            <w:right w:val="none" w:sz="0" w:space="0" w:color="auto"/>
          </w:divBdr>
        </w:div>
        <w:div w:id="1179612384">
          <w:marLeft w:val="0"/>
          <w:marRight w:val="0"/>
          <w:marTop w:val="0"/>
          <w:marBottom w:val="0"/>
          <w:divBdr>
            <w:top w:val="none" w:sz="0" w:space="0" w:color="auto"/>
            <w:left w:val="none" w:sz="0" w:space="0" w:color="auto"/>
            <w:bottom w:val="none" w:sz="0" w:space="0" w:color="auto"/>
            <w:right w:val="none" w:sz="0" w:space="0" w:color="auto"/>
          </w:divBdr>
        </w:div>
      </w:divsChild>
    </w:div>
    <w:div w:id="1583022206">
      <w:bodyDiv w:val="1"/>
      <w:marLeft w:val="0"/>
      <w:marRight w:val="0"/>
      <w:marTop w:val="0"/>
      <w:marBottom w:val="0"/>
      <w:divBdr>
        <w:top w:val="none" w:sz="0" w:space="0" w:color="auto"/>
        <w:left w:val="none" w:sz="0" w:space="0" w:color="auto"/>
        <w:bottom w:val="none" w:sz="0" w:space="0" w:color="auto"/>
        <w:right w:val="none" w:sz="0" w:space="0" w:color="auto"/>
      </w:divBdr>
    </w:div>
    <w:div w:id="1652061131">
      <w:bodyDiv w:val="1"/>
      <w:marLeft w:val="0"/>
      <w:marRight w:val="0"/>
      <w:marTop w:val="0"/>
      <w:marBottom w:val="0"/>
      <w:divBdr>
        <w:top w:val="none" w:sz="0" w:space="0" w:color="auto"/>
        <w:left w:val="none" w:sz="0" w:space="0" w:color="auto"/>
        <w:bottom w:val="none" w:sz="0" w:space="0" w:color="auto"/>
        <w:right w:val="none" w:sz="0" w:space="0" w:color="auto"/>
      </w:divBdr>
      <w:divsChild>
        <w:div w:id="364334036">
          <w:marLeft w:val="0"/>
          <w:marRight w:val="0"/>
          <w:marTop w:val="0"/>
          <w:marBottom w:val="0"/>
          <w:divBdr>
            <w:top w:val="none" w:sz="0" w:space="0" w:color="auto"/>
            <w:left w:val="none" w:sz="0" w:space="0" w:color="auto"/>
            <w:bottom w:val="none" w:sz="0" w:space="0" w:color="auto"/>
            <w:right w:val="none" w:sz="0" w:space="0" w:color="auto"/>
          </w:divBdr>
        </w:div>
        <w:div w:id="430902176">
          <w:marLeft w:val="0"/>
          <w:marRight w:val="0"/>
          <w:marTop w:val="0"/>
          <w:marBottom w:val="0"/>
          <w:divBdr>
            <w:top w:val="none" w:sz="0" w:space="0" w:color="auto"/>
            <w:left w:val="none" w:sz="0" w:space="0" w:color="auto"/>
            <w:bottom w:val="none" w:sz="0" w:space="0" w:color="auto"/>
            <w:right w:val="none" w:sz="0" w:space="0" w:color="auto"/>
          </w:divBdr>
        </w:div>
        <w:div w:id="180632776">
          <w:marLeft w:val="0"/>
          <w:marRight w:val="0"/>
          <w:marTop w:val="0"/>
          <w:marBottom w:val="0"/>
          <w:divBdr>
            <w:top w:val="none" w:sz="0" w:space="0" w:color="auto"/>
            <w:left w:val="none" w:sz="0" w:space="0" w:color="auto"/>
            <w:bottom w:val="none" w:sz="0" w:space="0" w:color="auto"/>
            <w:right w:val="none" w:sz="0" w:space="0" w:color="auto"/>
          </w:divBdr>
        </w:div>
      </w:divsChild>
    </w:div>
    <w:div w:id="1679699544">
      <w:bodyDiv w:val="1"/>
      <w:marLeft w:val="0"/>
      <w:marRight w:val="0"/>
      <w:marTop w:val="0"/>
      <w:marBottom w:val="0"/>
      <w:divBdr>
        <w:top w:val="none" w:sz="0" w:space="0" w:color="auto"/>
        <w:left w:val="none" w:sz="0" w:space="0" w:color="auto"/>
        <w:bottom w:val="none" w:sz="0" w:space="0" w:color="auto"/>
        <w:right w:val="none" w:sz="0" w:space="0" w:color="auto"/>
      </w:divBdr>
    </w:div>
    <w:div w:id="1682128116">
      <w:bodyDiv w:val="1"/>
      <w:marLeft w:val="0"/>
      <w:marRight w:val="0"/>
      <w:marTop w:val="0"/>
      <w:marBottom w:val="0"/>
      <w:divBdr>
        <w:top w:val="none" w:sz="0" w:space="0" w:color="auto"/>
        <w:left w:val="none" w:sz="0" w:space="0" w:color="auto"/>
        <w:bottom w:val="none" w:sz="0" w:space="0" w:color="auto"/>
        <w:right w:val="none" w:sz="0" w:space="0" w:color="auto"/>
      </w:divBdr>
    </w:div>
    <w:div w:id="1814061729">
      <w:bodyDiv w:val="1"/>
      <w:marLeft w:val="0"/>
      <w:marRight w:val="0"/>
      <w:marTop w:val="0"/>
      <w:marBottom w:val="0"/>
      <w:divBdr>
        <w:top w:val="none" w:sz="0" w:space="0" w:color="auto"/>
        <w:left w:val="none" w:sz="0" w:space="0" w:color="auto"/>
        <w:bottom w:val="none" w:sz="0" w:space="0" w:color="auto"/>
        <w:right w:val="none" w:sz="0" w:space="0" w:color="auto"/>
      </w:divBdr>
    </w:div>
    <w:div w:id="1859469166">
      <w:bodyDiv w:val="1"/>
      <w:marLeft w:val="0"/>
      <w:marRight w:val="0"/>
      <w:marTop w:val="0"/>
      <w:marBottom w:val="0"/>
      <w:divBdr>
        <w:top w:val="none" w:sz="0" w:space="0" w:color="auto"/>
        <w:left w:val="none" w:sz="0" w:space="0" w:color="auto"/>
        <w:bottom w:val="none" w:sz="0" w:space="0" w:color="auto"/>
        <w:right w:val="none" w:sz="0" w:space="0" w:color="auto"/>
      </w:divBdr>
      <w:divsChild>
        <w:div w:id="1489323999">
          <w:marLeft w:val="0"/>
          <w:marRight w:val="0"/>
          <w:marTop w:val="0"/>
          <w:marBottom w:val="0"/>
          <w:divBdr>
            <w:top w:val="none" w:sz="0" w:space="0" w:color="auto"/>
            <w:left w:val="none" w:sz="0" w:space="0" w:color="auto"/>
            <w:bottom w:val="none" w:sz="0" w:space="0" w:color="auto"/>
            <w:right w:val="none" w:sz="0" w:space="0" w:color="auto"/>
          </w:divBdr>
        </w:div>
        <w:div w:id="1670794336">
          <w:marLeft w:val="0"/>
          <w:marRight w:val="0"/>
          <w:marTop w:val="0"/>
          <w:marBottom w:val="0"/>
          <w:divBdr>
            <w:top w:val="none" w:sz="0" w:space="0" w:color="auto"/>
            <w:left w:val="none" w:sz="0" w:space="0" w:color="auto"/>
            <w:bottom w:val="none" w:sz="0" w:space="0" w:color="auto"/>
            <w:right w:val="none" w:sz="0" w:space="0" w:color="auto"/>
          </w:divBdr>
        </w:div>
        <w:div w:id="400366753">
          <w:marLeft w:val="0"/>
          <w:marRight w:val="0"/>
          <w:marTop w:val="0"/>
          <w:marBottom w:val="0"/>
          <w:divBdr>
            <w:top w:val="none" w:sz="0" w:space="0" w:color="auto"/>
            <w:left w:val="none" w:sz="0" w:space="0" w:color="auto"/>
            <w:bottom w:val="none" w:sz="0" w:space="0" w:color="auto"/>
            <w:right w:val="none" w:sz="0" w:space="0" w:color="auto"/>
          </w:divBdr>
        </w:div>
      </w:divsChild>
    </w:div>
    <w:div w:id="1865904844">
      <w:bodyDiv w:val="1"/>
      <w:marLeft w:val="0"/>
      <w:marRight w:val="0"/>
      <w:marTop w:val="0"/>
      <w:marBottom w:val="0"/>
      <w:divBdr>
        <w:top w:val="none" w:sz="0" w:space="0" w:color="auto"/>
        <w:left w:val="none" w:sz="0" w:space="0" w:color="auto"/>
        <w:bottom w:val="none" w:sz="0" w:space="0" w:color="auto"/>
        <w:right w:val="none" w:sz="0" w:space="0" w:color="auto"/>
      </w:divBdr>
      <w:divsChild>
        <w:div w:id="1981155337">
          <w:marLeft w:val="0"/>
          <w:marRight w:val="0"/>
          <w:marTop w:val="0"/>
          <w:marBottom w:val="0"/>
          <w:divBdr>
            <w:top w:val="none" w:sz="0" w:space="0" w:color="auto"/>
            <w:left w:val="none" w:sz="0" w:space="0" w:color="auto"/>
            <w:bottom w:val="none" w:sz="0" w:space="0" w:color="auto"/>
            <w:right w:val="none" w:sz="0" w:space="0" w:color="auto"/>
          </w:divBdr>
        </w:div>
        <w:div w:id="1415586940">
          <w:marLeft w:val="0"/>
          <w:marRight w:val="0"/>
          <w:marTop w:val="0"/>
          <w:marBottom w:val="0"/>
          <w:divBdr>
            <w:top w:val="none" w:sz="0" w:space="0" w:color="auto"/>
            <w:left w:val="none" w:sz="0" w:space="0" w:color="auto"/>
            <w:bottom w:val="none" w:sz="0" w:space="0" w:color="auto"/>
            <w:right w:val="none" w:sz="0" w:space="0" w:color="auto"/>
          </w:divBdr>
        </w:div>
        <w:div w:id="1131241498">
          <w:marLeft w:val="0"/>
          <w:marRight w:val="0"/>
          <w:marTop w:val="0"/>
          <w:marBottom w:val="0"/>
          <w:divBdr>
            <w:top w:val="none" w:sz="0" w:space="0" w:color="auto"/>
            <w:left w:val="none" w:sz="0" w:space="0" w:color="auto"/>
            <w:bottom w:val="none" w:sz="0" w:space="0" w:color="auto"/>
            <w:right w:val="none" w:sz="0" w:space="0" w:color="auto"/>
          </w:divBdr>
        </w:div>
      </w:divsChild>
    </w:div>
    <w:div w:id="1955164270">
      <w:bodyDiv w:val="1"/>
      <w:marLeft w:val="0"/>
      <w:marRight w:val="0"/>
      <w:marTop w:val="0"/>
      <w:marBottom w:val="0"/>
      <w:divBdr>
        <w:top w:val="none" w:sz="0" w:space="0" w:color="auto"/>
        <w:left w:val="none" w:sz="0" w:space="0" w:color="auto"/>
        <w:bottom w:val="none" w:sz="0" w:space="0" w:color="auto"/>
        <w:right w:val="none" w:sz="0" w:space="0" w:color="auto"/>
      </w:divBdr>
    </w:div>
    <w:div w:id="1956250763">
      <w:bodyDiv w:val="1"/>
      <w:marLeft w:val="0"/>
      <w:marRight w:val="0"/>
      <w:marTop w:val="0"/>
      <w:marBottom w:val="0"/>
      <w:divBdr>
        <w:top w:val="none" w:sz="0" w:space="0" w:color="auto"/>
        <w:left w:val="none" w:sz="0" w:space="0" w:color="auto"/>
        <w:bottom w:val="none" w:sz="0" w:space="0" w:color="auto"/>
        <w:right w:val="none" w:sz="0" w:space="0" w:color="auto"/>
      </w:divBdr>
    </w:div>
    <w:div w:id="197548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D943C-AEFE-417C-93FE-5A7CEA6AC5B1}"/>
</file>

<file path=customXml/itemProps2.xml><?xml version="1.0" encoding="utf-8"?>
<ds:datastoreItem xmlns:ds="http://schemas.openxmlformats.org/officeDocument/2006/customXml" ds:itemID="{FA80DCFD-1BBA-4C2E-A3F6-FE18736E6C1B}">
  <ds:schemaRefs>
    <ds:schemaRef ds:uri="http://schemas.microsoft.com/office/2006/metadata/properties"/>
    <ds:schemaRef ds:uri="http://schemas.microsoft.com/office/infopath/2007/PartnerControls"/>
    <ds:schemaRef ds:uri="a6b0a586-1ef6-4ab0-a76d-2a440b27d74e"/>
  </ds:schemaRefs>
</ds:datastoreItem>
</file>

<file path=customXml/itemProps3.xml><?xml version="1.0" encoding="utf-8"?>
<ds:datastoreItem xmlns:ds="http://schemas.openxmlformats.org/officeDocument/2006/customXml" ds:itemID="{6808C5BB-FCD1-41C4-B617-437732B730F9}">
  <ds:schemaRefs>
    <ds:schemaRef ds:uri="http://schemas.microsoft.com/sharepoint/v3/contenttype/forms"/>
  </ds:schemaRefs>
</ds:datastoreItem>
</file>

<file path=customXml/itemProps4.xml><?xml version="1.0" encoding="utf-8"?>
<ds:datastoreItem xmlns:ds="http://schemas.openxmlformats.org/officeDocument/2006/customXml" ds:itemID="{B35CEAC6-5ED9-44BE-8AE0-334F4BE99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1485</Words>
  <Characters>6791</Characters>
  <Application>Microsoft Office Word</Application>
  <DocSecurity>0</DocSecurity>
  <Lines>115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Links>
    <vt:vector size="60" baseType="variant">
      <vt:variant>
        <vt:i4>3145827</vt:i4>
      </vt:variant>
      <vt:variant>
        <vt:i4>48</vt:i4>
      </vt:variant>
      <vt:variant>
        <vt:i4>0</vt:i4>
      </vt:variant>
      <vt:variant>
        <vt:i4>5</vt:i4>
      </vt:variant>
      <vt:variant>
        <vt:lpwstr>http://www.sfc.ac.uk/publications-statistics/statistical-publications/2021/SFCST012021.aspx</vt:lpwstr>
      </vt:variant>
      <vt:variant>
        <vt:lpwstr/>
      </vt:variant>
      <vt:variant>
        <vt:i4>3670106</vt:i4>
      </vt:variant>
      <vt:variant>
        <vt:i4>45</vt:i4>
      </vt:variant>
      <vt:variant>
        <vt:i4>0</vt:i4>
      </vt:variant>
      <vt:variant>
        <vt:i4>5</vt:i4>
      </vt:variant>
      <vt:variant>
        <vt:lpwstr>C:\Users\angela.campbell\AppData\Local\Microsoft\Windows\INetCache\Content.Outlook\JNPBS5HO\Diane.McGill@nclan.ac.uk</vt:lpwstr>
      </vt:variant>
      <vt:variant>
        <vt:lpwstr/>
      </vt:variant>
      <vt:variant>
        <vt:i4>5046277</vt:i4>
      </vt:variant>
      <vt:variant>
        <vt:i4>42</vt:i4>
      </vt:variant>
      <vt:variant>
        <vt:i4>0</vt:i4>
      </vt:variant>
      <vt:variant>
        <vt:i4>5</vt:i4>
      </vt:variant>
      <vt:variant>
        <vt:lpwstr>https://www.nclanarkshire.ac.uk/</vt:lpwstr>
      </vt:variant>
      <vt:variant>
        <vt:lpwstr/>
      </vt:variant>
      <vt:variant>
        <vt:i4>2752618</vt:i4>
      </vt:variant>
      <vt:variant>
        <vt:i4>39</vt:i4>
      </vt:variant>
      <vt:variant>
        <vt:i4>0</vt:i4>
      </vt:variant>
      <vt:variant>
        <vt:i4>5</vt:i4>
      </vt:variant>
      <vt:variant>
        <vt:lpwstr>https://infopoint.nclan.ac.uk/</vt:lpwstr>
      </vt:variant>
      <vt:variant>
        <vt:lpwstr/>
      </vt:variant>
      <vt:variant>
        <vt:i4>1703984</vt:i4>
      </vt:variant>
      <vt:variant>
        <vt:i4>32</vt:i4>
      </vt:variant>
      <vt:variant>
        <vt:i4>0</vt:i4>
      </vt:variant>
      <vt:variant>
        <vt:i4>5</vt:i4>
      </vt:variant>
      <vt:variant>
        <vt:lpwstr/>
      </vt:variant>
      <vt:variant>
        <vt:lpwstr>_Toc63590433</vt:lpwstr>
      </vt:variant>
      <vt:variant>
        <vt:i4>1769520</vt:i4>
      </vt:variant>
      <vt:variant>
        <vt:i4>26</vt:i4>
      </vt:variant>
      <vt:variant>
        <vt:i4>0</vt:i4>
      </vt:variant>
      <vt:variant>
        <vt:i4>5</vt:i4>
      </vt:variant>
      <vt:variant>
        <vt:lpwstr/>
      </vt:variant>
      <vt:variant>
        <vt:lpwstr>_Toc63590432</vt:lpwstr>
      </vt:variant>
      <vt:variant>
        <vt:i4>1572912</vt:i4>
      </vt:variant>
      <vt:variant>
        <vt:i4>20</vt:i4>
      </vt:variant>
      <vt:variant>
        <vt:i4>0</vt:i4>
      </vt:variant>
      <vt:variant>
        <vt:i4>5</vt:i4>
      </vt:variant>
      <vt:variant>
        <vt:lpwstr/>
      </vt:variant>
      <vt:variant>
        <vt:lpwstr>_Toc63590431</vt:lpwstr>
      </vt:variant>
      <vt:variant>
        <vt:i4>1638448</vt:i4>
      </vt:variant>
      <vt:variant>
        <vt:i4>14</vt:i4>
      </vt:variant>
      <vt:variant>
        <vt:i4>0</vt:i4>
      </vt:variant>
      <vt:variant>
        <vt:i4>5</vt:i4>
      </vt:variant>
      <vt:variant>
        <vt:lpwstr/>
      </vt:variant>
      <vt:variant>
        <vt:lpwstr>_Toc63590430</vt:lpwstr>
      </vt:variant>
      <vt:variant>
        <vt:i4>1048627</vt:i4>
      </vt:variant>
      <vt:variant>
        <vt:i4>8</vt:i4>
      </vt:variant>
      <vt:variant>
        <vt:i4>0</vt:i4>
      </vt:variant>
      <vt:variant>
        <vt:i4>5</vt:i4>
      </vt:variant>
      <vt:variant>
        <vt:lpwstr/>
      </vt:variant>
      <vt:variant>
        <vt:lpwstr>_Toc63590409</vt:lpwstr>
      </vt:variant>
      <vt:variant>
        <vt:i4>1114163</vt:i4>
      </vt:variant>
      <vt:variant>
        <vt:i4>2</vt:i4>
      </vt:variant>
      <vt:variant>
        <vt:i4>0</vt:i4>
      </vt:variant>
      <vt:variant>
        <vt:i4>5</vt:i4>
      </vt:variant>
      <vt:variant>
        <vt:lpwstr/>
      </vt:variant>
      <vt:variant>
        <vt:lpwstr>_Toc63590408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Baxter</dc:creator>
  <cp:keywords/>
  <dc:description/>
  <cp:lastModifiedBy>Alan Moffat</cp:lastModifiedBy>
  <cp:revision>2</cp:revision>
  <cp:lastPrinted>2024-10-28T09:57:00Z</cp:lastPrinted>
  <dcterms:created xsi:type="dcterms:W3CDTF">2024-10-29T18:00:00Z</dcterms:created>
  <dcterms:modified xsi:type="dcterms:W3CDTF">2024-10-29T18:00:00Z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