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8ED15" w14:textId="2AD36FE8" w:rsidR="00F948DE" w:rsidRDefault="00F948DE"/>
    <w:p w14:paraId="0C78E343" w14:textId="77777777" w:rsidR="00F948DE" w:rsidRDefault="00F948DE"/>
    <w:p w14:paraId="58DA92F5" w14:textId="023C1CA5" w:rsidR="00F948DE" w:rsidRDefault="00F948DE" w:rsidP="00F948DE">
      <w:pPr>
        <w:jc w:val="center"/>
        <w:rPr>
          <w:b/>
          <w:u w:val="single"/>
        </w:rPr>
      </w:pPr>
      <w:r w:rsidRPr="00F948DE">
        <w:rPr>
          <w:b/>
          <w:u w:val="single"/>
        </w:rPr>
        <w:t>ICT Update Report – R&amp;GP Committee</w:t>
      </w:r>
      <w:r w:rsidR="003D1A0C">
        <w:rPr>
          <w:b/>
          <w:u w:val="single"/>
        </w:rPr>
        <w:t xml:space="preserve"> (22</w:t>
      </w:r>
      <w:r w:rsidR="003D1A0C" w:rsidRPr="003D1A0C">
        <w:rPr>
          <w:b/>
          <w:u w:val="single"/>
          <w:vertAlign w:val="superscript"/>
        </w:rPr>
        <w:t>nd</w:t>
      </w:r>
      <w:r w:rsidR="003D1A0C">
        <w:rPr>
          <w:b/>
          <w:u w:val="single"/>
        </w:rPr>
        <w:t xml:space="preserve"> May 2023)</w:t>
      </w:r>
    </w:p>
    <w:p w14:paraId="6112CD84" w14:textId="4A983E34" w:rsidR="00C74D36" w:rsidRDefault="00C74D36"/>
    <w:p w14:paraId="57EA3128" w14:textId="769EB4AD" w:rsidR="005943E6" w:rsidRPr="00896A61" w:rsidRDefault="003D1A0C" w:rsidP="00FE674B">
      <w:pPr>
        <w:pStyle w:val="ListParagraph"/>
        <w:numPr>
          <w:ilvl w:val="0"/>
          <w:numId w:val="3"/>
        </w:numPr>
        <w:rPr>
          <w:b/>
          <w:sz w:val="24"/>
          <w:szCs w:val="24"/>
        </w:rPr>
      </w:pPr>
      <w:r>
        <w:rPr>
          <w:b/>
          <w:sz w:val="24"/>
          <w:szCs w:val="24"/>
        </w:rPr>
        <w:t>ICT Strategic Priorities</w:t>
      </w:r>
    </w:p>
    <w:p w14:paraId="381BDC23" w14:textId="77777777" w:rsidR="005943E6" w:rsidRPr="00896A61" w:rsidRDefault="005943E6" w:rsidP="005943E6">
      <w:pPr>
        <w:pStyle w:val="ListParagraph"/>
        <w:rPr>
          <w:sz w:val="24"/>
          <w:szCs w:val="24"/>
        </w:rPr>
      </w:pPr>
    </w:p>
    <w:p w14:paraId="5D628ECE" w14:textId="0CA4CB21" w:rsidR="00FE674B" w:rsidRDefault="00CB4AB4" w:rsidP="00FE674B">
      <w:pPr>
        <w:pStyle w:val="ListParagraph"/>
        <w:rPr>
          <w:sz w:val="24"/>
          <w:szCs w:val="24"/>
        </w:rPr>
      </w:pPr>
      <w:r>
        <w:rPr>
          <w:sz w:val="24"/>
          <w:szCs w:val="24"/>
        </w:rPr>
        <w:t>In May of 2022 a presentation was given to the Executive Board and the Finance Committee highlighting the ageing condition of the ICT estate and outlining the ICT strategic priorities for 2023 and 2024. These were:</w:t>
      </w:r>
    </w:p>
    <w:p w14:paraId="291178FF" w14:textId="1E5B9778" w:rsidR="00CB4AB4" w:rsidRDefault="00CB4AB4" w:rsidP="00FE674B">
      <w:pPr>
        <w:pStyle w:val="ListParagraph"/>
        <w:rPr>
          <w:sz w:val="24"/>
          <w:szCs w:val="24"/>
        </w:rPr>
      </w:pPr>
    </w:p>
    <w:p w14:paraId="3ACE9F5A" w14:textId="200C6993" w:rsidR="00CB4AB4" w:rsidRPr="009A502B" w:rsidRDefault="009A502B" w:rsidP="00FE674B">
      <w:pPr>
        <w:pStyle w:val="ListParagraph"/>
        <w:rPr>
          <w:b/>
          <w:sz w:val="24"/>
          <w:szCs w:val="24"/>
          <w:u w:val="single"/>
        </w:rPr>
      </w:pPr>
      <w:r w:rsidRPr="009A502B">
        <w:rPr>
          <w:b/>
          <w:sz w:val="24"/>
          <w:szCs w:val="24"/>
          <w:u w:val="single"/>
        </w:rPr>
        <w:t>2022/23</w:t>
      </w:r>
    </w:p>
    <w:p w14:paraId="4CCA5DBD" w14:textId="48898E5B" w:rsidR="009A502B" w:rsidRDefault="009A502B" w:rsidP="009A502B">
      <w:pPr>
        <w:pStyle w:val="ListParagraph"/>
        <w:numPr>
          <w:ilvl w:val="0"/>
          <w:numId w:val="4"/>
        </w:numPr>
        <w:rPr>
          <w:sz w:val="24"/>
          <w:szCs w:val="24"/>
        </w:rPr>
      </w:pPr>
      <w:r>
        <w:rPr>
          <w:sz w:val="24"/>
          <w:szCs w:val="24"/>
        </w:rPr>
        <w:t>Replace all Desktops &amp; Laptops over 9 years old (1,651 devices, £882k approx.)</w:t>
      </w:r>
    </w:p>
    <w:p w14:paraId="6159C36D" w14:textId="6085E651" w:rsidR="009A502B" w:rsidRDefault="009A502B" w:rsidP="009A502B">
      <w:pPr>
        <w:pStyle w:val="ListParagraph"/>
        <w:numPr>
          <w:ilvl w:val="0"/>
          <w:numId w:val="4"/>
        </w:numPr>
        <w:rPr>
          <w:sz w:val="24"/>
          <w:szCs w:val="24"/>
        </w:rPr>
      </w:pPr>
      <w:r>
        <w:rPr>
          <w:sz w:val="24"/>
          <w:szCs w:val="24"/>
        </w:rPr>
        <w:t>Upgrade Wi-Fi across all campuses.</w:t>
      </w:r>
    </w:p>
    <w:p w14:paraId="0BE1904A" w14:textId="5875E8B5" w:rsidR="009A502B" w:rsidRDefault="009A502B" w:rsidP="009A502B">
      <w:pPr>
        <w:pStyle w:val="ListParagraph"/>
        <w:numPr>
          <w:ilvl w:val="0"/>
          <w:numId w:val="4"/>
        </w:numPr>
        <w:rPr>
          <w:sz w:val="24"/>
          <w:szCs w:val="24"/>
        </w:rPr>
      </w:pPr>
      <w:r>
        <w:rPr>
          <w:sz w:val="24"/>
          <w:szCs w:val="24"/>
        </w:rPr>
        <w:t>Replace 1/3</w:t>
      </w:r>
      <w:r w:rsidRPr="009A502B">
        <w:rPr>
          <w:sz w:val="24"/>
          <w:szCs w:val="24"/>
          <w:vertAlign w:val="superscript"/>
        </w:rPr>
        <w:t>rd</w:t>
      </w:r>
      <w:r>
        <w:rPr>
          <w:sz w:val="24"/>
          <w:szCs w:val="24"/>
        </w:rPr>
        <w:t xml:space="preserve"> of Classroom inter-active boards as the 1</w:t>
      </w:r>
      <w:r w:rsidRPr="009A502B">
        <w:rPr>
          <w:sz w:val="24"/>
          <w:szCs w:val="24"/>
          <w:vertAlign w:val="superscript"/>
        </w:rPr>
        <w:t>st</w:t>
      </w:r>
      <w:r>
        <w:rPr>
          <w:sz w:val="24"/>
          <w:szCs w:val="24"/>
        </w:rPr>
        <w:t xml:space="preserve"> stage of a three</w:t>
      </w:r>
      <w:r w:rsidR="00967FF1">
        <w:rPr>
          <w:sz w:val="24"/>
          <w:szCs w:val="24"/>
        </w:rPr>
        <w:t>-</w:t>
      </w:r>
      <w:r>
        <w:rPr>
          <w:sz w:val="24"/>
          <w:szCs w:val="24"/>
        </w:rPr>
        <w:t>year programme.</w:t>
      </w:r>
    </w:p>
    <w:p w14:paraId="51F815F7" w14:textId="0281C787" w:rsidR="009A502B" w:rsidRDefault="009A502B" w:rsidP="009A502B">
      <w:pPr>
        <w:pStyle w:val="ListParagraph"/>
        <w:numPr>
          <w:ilvl w:val="0"/>
          <w:numId w:val="4"/>
        </w:numPr>
        <w:rPr>
          <w:sz w:val="24"/>
          <w:szCs w:val="24"/>
        </w:rPr>
      </w:pPr>
      <w:r>
        <w:rPr>
          <w:sz w:val="24"/>
          <w:szCs w:val="24"/>
        </w:rPr>
        <w:t>Replace phone system with ‘PBX in the Cloud’ to address issues with current Cisco system – integrates with MS Teams and supports hybrid working.</w:t>
      </w:r>
    </w:p>
    <w:p w14:paraId="47D045E2" w14:textId="61C0F905" w:rsidR="009A502B" w:rsidRDefault="009A502B" w:rsidP="009A502B">
      <w:pPr>
        <w:pStyle w:val="ListParagraph"/>
        <w:numPr>
          <w:ilvl w:val="0"/>
          <w:numId w:val="4"/>
        </w:numPr>
        <w:rPr>
          <w:sz w:val="24"/>
          <w:szCs w:val="24"/>
        </w:rPr>
      </w:pPr>
      <w:r>
        <w:rPr>
          <w:sz w:val="24"/>
          <w:szCs w:val="24"/>
        </w:rPr>
        <w:t>Conduct a review of the in-house server, storage &amp; backup infrastructure.</w:t>
      </w:r>
    </w:p>
    <w:p w14:paraId="431E28BB" w14:textId="1F89F69A" w:rsidR="009A502B" w:rsidRDefault="009A502B" w:rsidP="009A502B">
      <w:pPr>
        <w:pStyle w:val="ListParagraph"/>
        <w:numPr>
          <w:ilvl w:val="0"/>
          <w:numId w:val="4"/>
        </w:numPr>
        <w:rPr>
          <w:sz w:val="24"/>
          <w:szCs w:val="24"/>
        </w:rPr>
      </w:pPr>
      <w:r>
        <w:rPr>
          <w:sz w:val="24"/>
          <w:szCs w:val="24"/>
        </w:rPr>
        <w:t>Review the allocation of college mobile phones.</w:t>
      </w:r>
    </w:p>
    <w:p w14:paraId="0AC63981" w14:textId="7198CF3F" w:rsidR="009A502B" w:rsidRDefault="009A502B" w:rsidP="00FE674B">
      <w:pPr>
        <w:pStyle w:val="ListParagraph"/>
        <w:rPr>
          <w:sz w:val="24"/>
          <w:szCs w:val="24"/>
        </w:rPr>
      </w:pPr>
    </w:p>
    <w:p w14:paraId="0E53855F" w14:textId="24FD62DA" w:rsidR="009A502B" w:rsidRPr="009A502B" w:rsidRDefault="009A502B" w:rsidP="00FE674B">
      <w:pPr>
        <w:pStyle w:val="ListParagraph"/>
        <w:rPr>
          <w:b/>
          <w:sz w:val="24"/>
          <w:szCs w:val="24"/>
          <w:u w:val="single"/>
        </w:rPr>
      </w:pPr>
      <w:r w:rsidRPr="009A502B">
        <w:rPr>
          <w:b/>
          <w:sz w:val="24"/>
          <w:szCs w:val="24"/>
          <w:u w:val="single"/>
        </w:rPr>
        <w:t>2023/24</w:t>
      </w:r>
    </w:p>
    <w:p w14:paraId="3E3F9BA6" w14:textId="154983B4" w:rsidR="009A502B" w:rsidRDefault="009A502B" w:rsidP="009A502B">
      <w:pPr>
        <w:pStyle w:val="ListParagraph"/>
        <w:numPr>
          <w:ilvl w:val="0"/>
          <w:numId w:val="5"/>
        </w:numPr>
        <w:rPr>
          <w:sz w:val="24"/>
          <w:szCs w:val="24"/>
        </w:rPr>
      </w:pPr>
      <w:r>
        <w:rPr>
          <w:sz w:val="24"/>
          <w:szCs w:val="24"/>
        </w:rPr>
        <w:t>Continue with annual Desktop &amp; Laptop refresh cycle (working towards 5</w:t>
      </w:r>
      <w:r w:rsidR="00967FF1">
        <w:rPr>
          <w:sz w:val="24"/>
          <w:szCs w:val="24"/>
        </w:rPr>
        <w:t xml:space="preserve"> </w:t>
      </w:r>
      <w:r>
        <w:rPr>
          <w:sz w:val="24"/>
          <w:szCs w:val="24"/>
        </w:rPr>
        <w:t>-</w:t>
      </w:r>
      <w:r w:rsidR="00967FF1">
        <w:rPr>
          <w:sz w:val="24"/>
          <w:szCs w:val="24"/>
        </w:rPr>
        <w:t xml:space="preserve"> </w:t>
      </w:r>
      <w:r>
        <w:rPr>
          <w:sz w:val="24"/>
          <w:szCs w:val="24"/>
        </w:rPr>
        <w:t>6</w:t>
      </w:r>
      <w:r w:rsidR="00967FF1">
        <w:rPr>
          <w:sz w:val="24"/>
          <w:szCs w:val="24"/>
        </w:rPr>
        <w:t xml:space="preserve"> </w:t>
      </w:r>
      <w:r>
        <w:rPr>
          <w:sz w:val="24"/>
          <w:szCs w:val="24"/>
        </w:rPr>
        <w:t>year replacement lifecycle)</w:t>
      </w:r>
    </w:p>
    <w:p w14:paraId="27677116" w14:textId="42598855" w:rsidR="009A502B" w:rsidRDefault="009A502B" w:rsidP="009A502B">
      <w:pPr>
        <w:pStyle w:val="ListParagraph"/>
        <w:numPr>
          <w:ilvl w:val="0"/>
          <w:numId w:val="5"/>
        </w:numPr>
        <w:rPr>
          <w:sz w:val="24"/>
          <w:szCs w:val="24"/>
        </w:rPr>
      </w:pPr>
      <w:r>
        <w:rPr>
          <w:sz w:val="24"/>
          <w:szCs w:val="24"/>
        </w:rPr>
        <w:t>Continue Classroom A/V refresh/upgrade programme.</w:t>
      </w:r>
    </w:p>
    <w:p w14:paraId="7FD00F93" w14:textId="4EE173DC" w:rsidR="009A502B" w:rsidRDefault="009A502B" w:rsidP="009A502B">
      <w:pPr>
        <w:pStyle w:val="ListParagraph"/>
        <w:numPr>
          <w:ilvl w:val="0"/>
          <w:numId w:val="5"/>
        </w:numPr>
        <w:rPr>
          <w:sz w:val="24"/>
          <w:szCs w:val="24"/>
        </w:rPr>
      </w:pPr>
      <w:r>
        <w:rPr>
          <w:sz w:val="24"/>
          <w:szCs w:val="24"/>
        </w:rPr>
        <w:t>Upgrade the in-house server, storage &amp; backup infrastructure.</w:t>
      </w:r>
    </w:p>
    <w:p w14:paraId="3A2698C3" w14:textId="5AAFF81B" w:rsidR="009A502B" w:rsidRDefault="009A502B" w:rsidP="009A502B">
      <w:pPr>
        <w:pStyle w:val="ListParagraph"/>
        <w:numPr>
          <w:ilvl w:val="0"/>
          <w:numId w:val="5"/>
        </w:numPr>
        <w:rPr>
          <w:sz w:val="24"/>
          <w:szCs w:val="24"/>
        </w:rPr>
      </w:pPr>
      <w:r>
        <w:rPr>
          <w:sz w:val="24"/>
          <w:szCs w:val="24"/>
        </w:rPr>
        <w:t>Upgrade the network infrastructure.</w:t>
      </w:r>
    </w:p>
    <w:p w14:paraId="6D55AEF6" w14:textId="05B9885C" w:rsidR="00CB4AB4" w:rsidRDefault="00CB4AB4" w:rsidP="00FE674B">
      <w:pPr>
        <w:pStyle w:val="ListParagraph"/>
      </w:pPr>
    </w:p>
    <w:p w14:paraId="4F5104CA" w14:textId="72C8623E" w:rsidR="005943E6" w:rsidRPr="00B978E6" w:rsidRDefault="00BD49A4" w:rsidP="002E5B0F">
      <w:pPr>
        <w:pStyle w:val="ListParagraph"/>
        <w:numPr>
          <w:ilvl w:val="0"/>
          <w:numId w:val="3"/>
        </w:numPr>
        <w:rPr>
          <w:b/>
          <w:sz w:val="24"/>
          <w:szCs w:val="24"/>
        </w:rPr>
      </w:pPr>
      <w:r>
        <w:rPr>
          <w:b/>
          <w:sz w:val="24"/>
          <w:szCs w:val="24"/>
        </w:rPr>
        <w:t>Update on Progress</w:t>
      </w:r>
    </w:p>
    <w:p w14:paraId="35A4CC9B" w14:textId="2C3F5084" w:rsidR="005943E6" w:rsidRDefault="004B17B6" w:rsidP="005943E6">
      <w:pPr>
        <w:pStyle w:val="ListParagraph"/>
        <w:rPr>
          <w:sz w:val="24"/>
          <w:szCs w:val="24"/>
        </w:rPr>
      </w:pPr>
      <w:r>
        <w:rPr>
          <w:sz w:val="24"/>
          <w:szCs w:val="24"/>
        </w:rPr>
        <w:t xml:space="preserve">During 2022/23 </w:t>
      </w:r>
      <w:r w:rsidR="006F4C76">
        <w:rPr>
          <w:sz w:val="24"/>
          <w:szCs w:val="24"/>
        </w:rPr>
        <w:t>we have successfully undertaken the following projects:</w:t>
      </w:r>
    </w:p>
    <w:p w14:paraId="1400A85B" w14:textId="77777777" w:rsidR="006F4C76" w:rsidRDefault="006F4C76" w:rsidP="005943E6">
      <w:pPr>
        <w:pStyle w:val="ListParagraph"/>
        <w:rPr>
          <w:sz w:val="24"/>
          <w:szCs w:val="24"/>
        </w:rPr>
      </w:pPr>
    </w:p>
    <w:p w14:paraId="3DA1E36F" w14:textId="415BFBD6" w:rsidR="00BD49A4" w:rsidRPr="00AE3AA1" w:rsidRDefault="00BD49A4" w:rsidP="005943E6">
      <w:pPr>
        <w:pStyle w:val="ListParagraph"/>
        <w:rPr>
          <w:b/>
          <w:sz w:val="24"/>
          <w:szCs w:val="24"/>
        </w:rPr>
      </w:pPr>
      <w:r w:rsidRPr="00AE3AA1">
        <w:rPr>
          <w:b/>
          <w:sz w:val="24"/>
          <w:szCs w:val="24"/>
        </w:rPr>
        <w:t>Replace all Desktops &amp; Laptops over 9 years old</w:t>
      </w:r>
      <w:r w:rsidR="00F8003D">
        <w:rPr>
          <w:b/>
          <w:sz w:val="24"/>
          <w:szCs w:val="24"/>
        </w:rPr>
        <w:t>.</w:t>
      </w:r>
    </w:p>
    <w:p w14:paraId="4638F254" w14:textId="5FE4C90C" w:rsidR="00BD49A4" w:rsidRDefault="000C6731" w:rsidP="005943E6">
      <w:pPr>
        <w:pStyle w:val="ListParagraph"/>
        <w:rPr>
          <w:sz w:val="24"/>
          <w:szCs w:val="24"/>
        </w:rPr>
      </w:pPr>
      <w:r>
        <w:rPr>
          <w:sz w:val="24"/>
          <w:szCs w:val="24"/>
        </w:rPr>
        <w:t xml:space="preserve">Due to the </w:t>
      </w:r>
      <w:r w:rsidR="00AE3AA1">
        <w:rPr>
          <w:sz w:val="24"/>
          <w:szCs w:val="24"/>
        </w:rPr>
        <w:t xml:space="preserve">conditions attached to the Very High Priority Maintenance Fund (VHPM) (capital infrastructure projects) and the Digital Inclusion Fund (digital poverty) we have been unable to use any of this money to improve the age profile of our desktop &amp; laptop estate. However, by July of this year we will have purchased 400 new laptops from the annual ICT budget at a cost of £187k. These machines will be issued to staff and will replace the older </w:t>
      </w:r>
      <w:r w:rsidR="006229AA">
        <w:rPr>
          <w:sz w:val="24"/>
          <w:szCs w:val="24"/>
        </w:rPr>
        <w:t xml:space="preserve">Class-In-A-Box laptops that were issued to enable home working during the pandemic. </w:t>
      </w:r>
      <w:r w:rsidR="00BF6AFC">
        <w:rPr>
          <w:sz w:val="24"/>
          <w:szCs w:val="24"/>
        </w:rPr>
        <w:t>It will also enable us to reduce the total number of staff desktop PC’s</w:t>
      </w:r>
      <w:r w:rsidR="004F0A93">
        <w:rPr>
          <w:sz w:val="24"/>
          <w:szCs w:val="24"/>
        </w:rPr>
        <w:t>,</w:t>
      </w:r>
      <w:r w:rsidR="00BF6AFC">
        <w:rPr>
          <w:sz w:val="24"/>
          <w:szCs w:val="24"/>
        </w:rPr>
        <w:t xml:space="preserve"> with these machines being cascaded </w:t>
      </w:r>
      <w:r w:rsidR="004F0A93">
        <w:rPr>
          <w:sz w:val="24"/>
          <w:szCs w:val="24"/>
        </w:rPr>
        <w:t xml:space="preserve">throughout </w:t>
      </w:r>
      <w:r w:rsidR="00BF6AFC">
        <w:rPr>
          <w:sz w:val="24"/>
          <w:szCs w:val="24"/>
        </w:rPr>
        <w:t xml:space="preserve">the </w:t>
      </w:r>
      <w:r w:rsidR="004F0A93">
        <w:rPr>
          <w:sz w:val="24"/>
          <w:szCs w:val="24"/>
        </w:rPr>
        <w:t xml:space="preserve">college </w:t>
      </w:r>
      <w:r w:rsidR="00BF6AFC">
        <w:rPr>
          <w:sz w:val="24"/>
          <w:szCs w:val="24"/>
        </w:rPr>
        <w:t xml:space="preserve">to replace the oldest models. </w:t>
      </w:r>
      <w:r w:rsidR="004F0A93">
        <w:rPr>
          <w:sz w:val="24"/>
          <w:szCs w:val="24"/>
        </w:rPr>
        <w:t xml:space="preserve">This </w:t>
      </w:r>
      <w:r w:rsidR="00BF6AFC">
        <w:rPr>
          <w:sz w:val="24"/>
          <w:szCs w:val="24"/>
        </w:rPr>
        <w:t xml:space="preserve">will also help to decrease the overall </w:t>
      </w:r>
      <w:r w:rsidR="004F0A93">
        <w:rPr>
          <w:sz w:val="24"/>
          <w:szCs w:val="24"/>
        </w:rPr>
        <w:t xml:space="preserve">total </w:t>
      </w:r>
      <w:r w:rsidR="00BF6AFC">
        <w:rPr>
          <w:sz w:val="24"/>
          <w:szCs w:val="24"/>
        </w:rPr>
        <w:t xml:space="preserve">number of </w:t>
      </w:r>
      <w:r w:rsidR="009E629C">
        <w:rPr>
          <w:sz w:val="24"/>
          <w:szCs w:val="24"/>
        </w:rPr>
        <w:t xml:space="preserve">devices in the ICT estate (currently 4,500 approx.) </w:t>
      </w:r>
      <w:r w:rsidR="004F0A93">
        <w:rPr>
          <w:sz w:val="24"/>
          <w:szCs w:val="24"/>
        </w:rPr>
        <w:t>by eliminating the need for staff to have access to desktop devices on multiple campuses.</w:t>
      </w:r>
    </w:p>
    <w:p w14:paraId="3E1537AE" w14:textId="3D5A0419" w:rsidR="00F948DE" w:rsidRPr="009E629C" w:rsidRDefault="00F948DE" w:rsidP="009E629C">
      <w:pPr>
        <w:ind w:left="720"/>
      </w:pPr>
      <w:r w:rsidRPr="009E629C">
        <w:rPr>
          <w:b/>
        </w:rPr>
        <w:lastRenderedPageBreak/>
        <w:t>Upgrade Wi-Fi network infrastructure across all campuses</w:t>
      </w:r>
      <w:r w:rsidR="00F8003D">
        <w:rPr>
          <w:b/>
        </w:rPr>
        <w:t>.</w:t>
      </w:r>
    </w:p>
    <w:p w14:paraId="00EAEE0C" w14:textId="0F0CF70F" w:rsidR="00D02AAF" w:rsidRDefault="009E629C" w:rsidP="00D02AAF">
      <w:pPr>
        <w:pStyle w:val="ListParagraph"/>
        <w:rPr>
          <w:sz w:val="24"/>
          <w:szCs w:val="24"/>
        </w:rPr>
      </w:pPr>
      <w:r>
        <w:rPr>
          <w:sz w:val="24"/>
          <w:szCs w:val="24"/>
        </w:rPr>
        <w:t>The project to upgrade the Wi-Fi network infrastructure across all campus is underway and is on course to be completed by 31</w:t>
      </w:r>
      <w:r w:rsidRPr="009E629C">
        <w:rPr>
          <w:sz w:val="24"/>
          <w:szCs w:val="24"/>
          <w:vertAlign w:val="superscript"/>
        </w:rPr>
        <w:t>st</w:t>
      </w:r>
      <w:r>
        <w:rPr>
          <w:sz w:val="24"/>
          <w:szCs w:val="24"/>
        </w:rPr>
        <w:t xml:space="preserve"> July. The procurement process was completed on 30</w:t>
      </w:r>
      <w:r w:rsidRPr="009E629C">
        <w:rPr>
          <w:sz w:val="24"/>
          <w:szCs w:val="24"/>
          <w:vertAlign w:val="superscript"/>
        </w:rPr>
        <w:t>th</w:t>
      </w:r>
      <w:r>
        <w:rPr>
          <w:sz w:val="24"/>
          <w:szCs w:val="24"/>
        </w:rPr>
        <w:t xml:space="preserve"> March</w:t>
      </w:r>
      <w:r w:rsidR="002D30AA">
        <w:rPr>
          <w:sz w:val="24"/>
          <w:szCs w:val="24"/>
        </w:rPr>
        <w:t>,</w:t>
      </w:r>
      <w:r>
        <w:rPr>
          <w:sz w:val="24"/>
          <w:szCs w:val="24"/>
        </w:rPr>
        <w:t xml:space="preserve"> </w:t>
      </w:r>
      <w:r w:rsidR="002D30AA">
        <w:rPr>
          <w:sz w:val="24"/>
          <w:szCs w:val="24"/>
        </w:rPr>
        <w:t xml:space="preserve">with the </w:t>
      </w:r>
      <w:r>
        <w:rPr>
          <w:sz w:val="24"/>
          <w:szCs w:val="24"/>
        </w:rPr>
        <w:t xml:space="preserve">contract </w:t>
      </w:r>
      <w:r w:rsidR="002D30AA">
        <w:rPr>
          <w:sz w:val="24"/>
          <w:szCs w:val="24"/>
        </w:rPr>
        <w:t xml:space="preserve">being </w:t>
      </w:r>
      <w:r>
        <w:rPr>
          <w:sz w:val="24"/>
          <w:szCs w:val="24"/>
        </w:rPr>
        <w:t>awarded to IP-Performance at a total cost of £</w:t>
      </w:r>
      <w:r w:rsidR="002D30AA">
        <w:rPr>
          <w:sz w:val="24"/>
          <w:szCs w:val="24"/>
        </w:rPr>
        <w:t>263,346 exc. VAT.</w:t>
      </w:r>
      <w:r>
        <w:rPr>
          <w:sz w:val="24"/>
          <w:szCs w:val="24"/>
        </w:rPr>
        <w:t xml:space="preserve"> </w:t>
      </w:r>
      <w:r w:rsidR="002D30AA">
        <w:rPr>
          <w:sz w:val="24"/>
          <w:szCs w:val="24"/>
        </w:rPr>
        <w:t xml:space="preserve">The new network will be a Juniper Mist solution utilising </w:t>
      </w:r>
      <w:r w:rsidR="006A1689">
        <w:rPr>
          <w:sz w:val="24"/>
          <w:szCs w:val="24"/>
        </w:rPr>
        <w:t>AP32 Wi-Fi 6E wireless access points.</w:t>
      </w:r>
      <w:r w:rsidR="002D30AA">
        <w:rPr>
          <w:sz w:val="24"/>
          <w:szCs w:val="24"/>
        </w:rPr>
        <w:t xml:space="preserve"> </w:t>
      </w:r>
    </w:p>
    <w:p w14:paraId="21FAD622" w14:textId="51AAD455" w:rsidR="00295B82" w:rsidRDefault="00295B82" w:rsidP="00D02AAF">
      <w:pPr>
        <w:pStyle w:val="ListParagraph"/>
        <w:rPr>
          <w:sz w:val="24"/>
          <w:szCs w:val="24"/>
        </w:rPr>
      </w:pPr>
    </w:p>
    <w:p w14:paraId="202D9BEB" w14:textId="7FAD7B24" w:rsidR="00F11EF5" w:rsidRPr="00F11EF5" w:rsidRDefault="00F11EF5" w:rsidP="00F11EF5">
      <w:pPr>
        <w:pStyle w:val="ListParagraph"/>
        <w:rPr>
          <w:b/>
          <w:sz w:val="24"/>
          <w:szCs w:val="24"/>
        </w:rPr>
      </w:pPr>
      <w:r w:rsidRPr="00F11EF5">
        <w:rPr>
          <w:b/>
          <w:sz w:val="24"/>
          <w:szCs w:val="24"/>
        </w:rPr>
        <w:t>Replace 1/3</w:t>
      </w:r>
      <w:r w:rsidRPr="00F11EF5">
        <w:rPr>
          <w:b/>
          <w:sz w:val="24"/>
          <w:szCs w:val="24"/>
          <w:vertAlign w:val="superscript"/>
        </w:rPr>
        <w:t>rd</w:t>
      </w:r>
      <w:r w:rsidRPr="00F11EF5">
        <w:rPr>
          <w:b/>
          <w:sz w:val="24"/>
          <w:szCs w:val="24"/>
        </w:rPr>
        <w:t xml:space="preserve"> of Classroom inter-active boards as the 1</w:t>
      </w:r>
      <w:r w:rsidRPr="00F11EF5">
        <w:rPr>
          <w:b/>
          <w:sz w:val="24"/>
          <w:szCs w:val="24"/>
          <w:vertAlign w:val="superscript"/>
        </w:rPr>
        <w:t>st</w:t>
      </w:r>
      <w:r w:rsidRPr="00F11EF5">
        <w:rPr>
          <w:b/>
          <w:sz w:val="24"/>
          <w:szCs w:val="24"/>
        </w:rPr>
        <w:t xml:space="preserve"> stage of a three</w:t>
      </w:r>
      <w:r w:rsidR="00F8003D">
        <w:rPr>
          <w:b/>
          <w:sz w:val="24"/>
          <w:szCs w:val="24"/>
        </w:rPr>
        <w:t>-</w:t>
      </w:r>
      <w:r w:rsidRPr="00F11EF5">
        <w:rPr>
          <w:b/>
          <w:sz w:val="24"/>
          <w:szCs w:val="24"/>
        </w:rPr>
        <w:t>year programme.</w:t>
      </w:r>
    </w:p>
    <w:p w14:paraId="3CF1B806" w14:textId="7B5CB608" w:rsidR="00F11EF5" w:rsidRDefault="007C2119" w:rsidP="00F11EF5">
      <w:pPr>
        <w:pStyle w:val="ListParagraph"/>
        <w:rPr>
          <w:sz w:val="24"/>
          <w:szCs w:val="24"/>
        </w:rPr>
      </w:pPr>
      <w:r>
        <w:rPr>
          <w:sz w:val="24"/>
          <w:szCs w:val="24"/>
        </w:rPr>
        <w:t>The final 19 screens were installed at the Cumbernauld and Broadwood campuses in the following rooms:</w:t>
      </w:r>
    </w:p>
    <w:p w14:paraId="53A0FB4D" w14:textId="77777777" w:rsidR="007C2119" w:rsidRDefault="007C2119" w:rsidP="00F11EF5">
      <w:pPr>
        <w:pStyle w:val="ListParagraph"/>
        <w:rPr>
          <w:sz w:val="24"/>
          <w:szCs w:val="24"/>
        </w:rPr>
      </w:pPr>
    </w:p>
    <w:tbl>
      <w:tblPr>
        <w:tblStyle w:val="TableGrid"/>
        <w:tblW w:w="0" w:type="auto"/>
        <w:tblInd w:w="2830" w:type="dxa"/>
        <w:tblLook w:val="04A0" w:firstRow="1" w:lastRow="0" w:firstColumn="1" w:lastColumn="0" w:noHBand="0" w:noVBand="1"/>
      </w:tblPr>
      <w:tblGrid>
        <w:gridCol w:w="2051"/>
        <w:gridCol w:w="1351"/>
      </w:tblGrid>
      <w:tr w:rsidR="001E1FAA" w14:paraId="1DC29665" w14:textId="77777777" w:rsidTr="007C2119">
        <w:tc>
          <w:tcPr>
            <w:tcW w:w="2051" w:type="dxa"/>
          </w:tcPr>
          <w:p w14:paraId="68BD15EA" w14:textId="79BAA9F4" w:rsidR="001E1FAA" w:rsidRPr="007C2119" w:rsidRDefault="007C2119" w:rsidP="00F11EF5">
            <w:pPr>
              <w:pStyle w:val="ListParagraph"/>
              <w:ind w:left="0"/>
              <w:rPr>
                <w:b/>
                <w:sz w:val="20"/>
                <w:szCs w:val="20"/>
              </w:rPr>
            </w:pPr>
            <w:r w:rsidRPr="007C2119">
              <w:rPr>
                <w:b/>
                <w:sz w:val="20"/>
                <w:szCs w:val="20"/>
              </w:rPr>
              <w:t>Campus</w:t>
            </w:r>
          </w:p>
        </w:tc>
        <w:tc>
          <w:tcPr>
            <w:tcW w:w="1351" w:type="dxa"/>
          </w:tcPr>
          <w:p w14:paraId="38FEB06A" w14:textId="2F669748" w:rsidR="001E1FAA" w:rsidRPr="007C2119" w:rsidRDefault="007C2119" w:rsidP="00F11EF5">
            <w:pPr>
              <w:pStyle w:val="ListParagraph"/>
              <w:ind w:left="0"/>
              <w:rPr>
                <w:b/>
                <w:sz w:val="20"/>
                <w:szCs w:val="20"/>
              </w:rPr>
            </w:pPr>
            <w:r w:rsidRPr="007C2119">
              <w:rPr>
                <w:b/>
                <w:sz w:val="20"/>
                <w:szCs w:val="20"/>
              </w:rPr>
              <w:t>Room No.</w:t>
            </w:r>
          </w:p>
        </w:tc>
      </w:tr>
      <w:tr w:rsidR="001E1FAA" w14:paraId="74A355ED" w14:textId="77777777" w:rsidTr="007C2119">
        <w:tc>
          <w:tcPr>
            <w:tcW w:w="2051" w:type="dxa"/>
          </w:tcPr>
          <w:p w14:paraId="4D1069E5" w14:textId="5FA77761" w:rsidR="001E1FAA" w:rsidRPr="007C2119" w:rsidRDefault="007C2119" w:rsidP="00F11EF5">
            <w:pPr>
              <w:pStyle w:val="ListParagraph"/>
              <w:ind w:left="0"/>
              <w:rPr>
                <w:sz w:val="20"/>
                <w:szCs w:val="20"/>
              </w:rPr>
            </w:pPr>
            <w:r w:rsidRPr="007C2119">
              <w:rPr>
                <w:sz w:val="20"/>
                <w:szCs w:val="20"/>
              </w:rPr>
              <w:t>Broadwood</w:t>
            </w:r>
          </w:p>
        </w:tc>
        <w:tc>
          <w:tcPr>
            <w:tcW w:w="1351" w:type="dxa"/>
          </w:tcPr>
          <w:p w14:paraId="09BB61CB" w14:textId="3424CFD9" w:rsidR="001E1FAA" w:rsidRPr="007C2119" w:rsidRDefault="007C2119" w:rsidP="00F11EF5">
            <w:pPr>
              <w:pStyle w:val="ListParagraph"/>
              <w:ind w:left="0"/>
              <w:rPr>
                <w:sz w:val="20"/>
                <w:szCs w:val="20"/>
              </w:rPr>
            </w:pPr>
            <w:r w:rsidRPr="007C2119">
              <w:rPr>
                <w:sz w:val="20"/>
                <w:szCs w:val="20"/>
              </w:rPr>
              <w:t>R1</w:t>
            </w:r>
          </w:p>
        </w:tc>
      </w:tr>
      <w:tr w:rsidR="001E1FAA" w14:paraId="5760FF6C" w14:textId="77777777" w:rsidTr="007C2119">
        <w:tc>
          <w:tcPr>
            <w:tcW w:w="2051" w:type="dxa"/>
          </w:tcPr>
          <w:p w14:paraId="3924533E" w14:textId="364954B6" w:rsidR="001E1FAA" w:rsidRPr="007C2119" w:rsidRDefault="007C2119" w:rsidP="00F11EF5">
            <w:pPr>
              <w:pStyle w:val="ListParagraph"/>
              <w:ind w:left="0"/>
              <w:rPr>
                <w:sz w:val="20"/>
                <w:szCs w:val="20"/>
              </w:rPr>
            </w:pPr>
            <w:r w:rsidRPr="007C2119">
              <w:rPr>
                <w:sz w:val="20"/>
                <w:szCs w:val="20"/>
              </w:rPr>
              <w:t>Cumbernauld</w:t>
            </w:r>
          </w:p>
        </w:tc>
        <w:tc>
          <w:tcPr>
            <w:tcW w:w="1351" w:type="dxa"/>
          </w:tcPr>
          <w:p w14:paraId="419A4BF6" w14:textId="541FD07B" w:rsidR="001E1FAA" w:rsidRPr="007C2119" w:rsidRDefault="007C2119" w:rsidP="00F11EF5">
            <w:pPr>
              <w:pStyle w:val="ListParagraph"/>
              <w:ind w:left="0"/>
              <w:rPr>
                <w:sz w:val="20"/>
                <w:szCs w:val="20"/>
              </w:rPr>
            </w:pPr>
            <w:r w:rsidRPr="007C2119">
              <w:rPr>
                <w:sz w:val="20"/>
                <w:szCs w:val="20"/>
              </w:rPr>
              <w:t>EB101</w:t>
            </w:r>
          </w:p>
        </w:tc>
      </w:tr>
      <w:tr w:rsidR="001E1FAA" w14:paraId="4AC4FB93" w14:textId="77777777" w:rsidTr="007C2119">
        <w:tc>
          <w:tcPr>
            <w:tcW w:w="2051" w:type="dxa"/>
          </w:tcPr>
          <w:p w14:paraId="3F33B105" w14:textId="37C965E9" w:rsidR="001E1FAA" w:rsidRPr="007C2119" w:rsidRDefault="007C2119" w:rsidP="00F11EF5">
            <w:pPr>
              <w:pStyle w:val="ListParagraph"/>
              <w:ind w:left="0"/>
              <w:rPr>
                <w:sz w:val="20"/>
                <w:szCs w:val="20"/>
              </w:rPr>
            </w:pPr>
            <w:r w:rsidRPr="007C2119">
              <w:rPr>
                <w:sz w:val="20"/>
                <w:szCs w:val="20"/>
              </w:rPr>
              <w:t>Cumbernauld</w:t>
            </w:r>
          </w:p>
        </w:tc>
        <w:tc>
          <w:tcPr>
            <w:tcW w:w="1351" w:type="dxa"/>
          </w:tcPr>
          <w:p w14:paraId="3D1ADE0A" w14:textId="0F391347" w:rsidR="001E1FAA" w:rsidRPr="007C2119" w:rsidRDefault="007C2119" w:rsidP="00F11EF5">
            <w:pPr>
              <w:pStyle w:val="ListParagraph"/>
              <w:ind w:left="0"/>
              <w:rPr>
                <w:sz w:val="20"/>
                <w:szCs w:val="20"/>
              </w:rPr>
            </w:pPr>
            <w:r w:rsidRPr="007C2119">
              <w:rPr>
                <w:sz w:val="20"/>
                <w:szCs w:val="20"/>
              </w:rPr>
              <w:t>EB217</w:t>
            </w:r>
          </w:p>
        </w:tc>
      </w:tr>
      <w:tr w:rsidR="001E1FAA" w14:paraId="44D7766C" w14:textId="77777777" w:rsidTr="007C2119">
        <w:tc>
          <w:tcPr>
            <w:tcW w:w="2051" w:type="dxa"/>
          </w:tcPr>
          <w:p w14:paraId="01F41D5C" w14:textId="445776AF" w:rsidR="001E1FAA" w:rsidRPr="007C2119" w:rsidRDefault="007C2119" w:rsidP="00F11EF5">
            <w:pPr>
              <w:pStyle w:val="ListParagraph"/>
              <w:ind w:left="0"/>
              <w:rPr>
                <w:sz w:val="20"/>
                <w:szCs w:val="20"/>
              </w:rPr>
            </w:pPr>
            <w:r w:rsidRPr="007C2119">
              <w:rPr>
                <w:sz w:val="20"/>
                <w:szCs w:val="20"/>
              </w:rPr>
              <w:t>Cumbernauld</w:t>
            </w:r>
          </w:p>
        </w:tc>
        <w:tc>
          <w:tcPr>
            <w:tcW w:w="1351" w:type="dxa"/>
          </w:tcPr>
          <w:p w14:paraId="0D16F591" w14:textId="5C1656B2" w:rsidR="001E1FAA" w:rsidRPr="007C2119" w:rsidRDefault="007C2119" w:rsidP="00F11EF5">
            <w:pPr>
              <w:pStyle w:val="ListParagraph"/>
              <w:ind w:left="0"/>
              <w:rPr>
                <w:sz w:val="20"/>
                <w:szCs w:val="20"/>
              </w:rPr>
            </w:pPr>
            <w:r w:rsidRPr="007C2119">
              <w:rPr>
                <w:sz w:val="20"/>
                <w:szCs w:val="20"/>
              </w:rPr>
              <w:t>MB213</w:t>
            </w:r>
          </w:p>
        </w:tc>
      </w:tr>
      <w:tr w:rsidR="001E1FAA" w14:paraId="5EEF5E46" w14:textId="77777777" w:rsidTr="007C2119">
        <w:tc>
          <w:tcPr>
            <w:tcW w:w="2051" w:type="dxa"/>
          </w:tcPr>
          <w:p w14:paraId="18E6E74B" w14:textId="59A46A44" w:rsidR="001E1FAA" w:rsidRPr="007C2119" w:rsidRDefault="007C2119" w:rsidP="00F11EF5">
            <w:pPr>
              <w:pStyle w:val="ListParagraph"/>
              <w:ind w:left="0"/>
              <w:rPr>
                <w:sz w:val="20"/>
                <w:szCs w:val="20"/>
              </w:rPr>
            </w:pPr>
            <w:r w:rsidRPr="007C2119">
              <w:rPr>
                <w:sz w:val="20"/>
                <w:szCs w:val="20"/>
              </w:rPr>
              <w:t>Cumbernauld</w:t>
            </w:r>
          </w:p>
        </w:tc>
        <w:tc>
          <w:tcPr>
            <w:tcW w:w="1351" w:type="dxa"/>
          </w:tcPr>
          <w:p w14:paraId="6D43D92C" w14:textId="5E62926B" w:rsidR="001E1FAA" w:rsidRPr="007C2119" w:rsidRDefault="007C2119" w:rsidP="00F11EF5">
            <w:pPr>
              <w:pStyle w:val="ListParagraph"/>
              <w:ind w:left="0"/>
              <w:rPr>
                <w:sz w:val="20"/>
                <w:szCs w:val="20"/>
              </w:rPr>
            </w:pPr>
            <w:r w:rsidRPr="007C2119">
              <w:rPr>
                <w:sz w:val="20"/>
                <w:szCs w:val="20"/>
              </w:rPr>
              <w:t>MB214</w:t>
            </w:r>
          </w:p>
        </w:tc>
      </w:tr>
      <w:tr w:rsidR="001E1FAA" w14:paraId="6C65852F" w14:textId="77777777" w:rsidTr="007C2119">
        <w:tc>
          <w:tcPr>
            <w:tcW w:w="2051" w:type="dxa"/>
          </w:tcPr>
          <w:p w14:paraId="200095D9" w14:textId="728A43D3" w:rsidR="001E1FAA" w:rsidRPr="007C2119" w:rsidRDefault="007C2119" w:rsidP="00F11EF5">
            <w:pPr>
              <w:pStyle w:val="ListParagraph"/>
              <w:ind w:left="0"/>
              <w:rPr>
                <w:sz w:val="20"/>
                <w:szCs w:val="20"/>
              </w:rPr>
            </w:pPr>
            <w:r w:rsidRPr="007C2119">
              <w:rPr>
                <w:sz w:val="20"/>
                <w:szCs w:val="20"/>
              </w:rPr>
              <w:t>Cumbernauld</w:t>
            </w:r>
          </w:p>
        </w:tc>
        <w:tc>
          <w:tcPr>
            <w:tcW w:w="1351" w:type="dxa"/>
          </w:tcPr>
          <w:p w14:paraId="51816752" w14:textId="0067EEAC" w:rsidR="001E1FAA" w:rsidRPr="007C2119" w:rsidRDefault="007C2119" w:rsidP="00F11EF5">
            <w:pPr>
              <w:pStyle w:val="ListParagraph"/>
              <w:ind w:left="0"/>
              <w:rPr>
                <w:sz w:val="20"/>
                <w:szCs w:val="20"/>
              </w:rPr>
            </w:pPr>
            <w:r w:rsidRPr="007C2119">
              <w:rPr>
                <w:sz w:val="20"/>
                <w:szCs w:val="20"/>
              </w:rPr>
              <w:t>MB215</w:t>
            </w:r>
          </w:p>
        </w:tc>
      </w:tr>
      <w:tr w:rsidR="001E1FAA" w14:paraId="46BA5332" w14:textId="77777777" w:rsidTr="007C2119">
        <w:tc>
          <w:tcPr>
            <w:tcW w:w="2051" w:type="dxa"/>
          </w:tcPr>
          <w:p w14:paraId="0DB35875" w14:textId="7DA519D3" w:rsidR="001E1FAA" w:rsidRPr="007C2119" w:rsidRDefault="007C2119" w:rsidP="00F11EF5">
            <w:pPr>
              <w:pStyle w:val="ListParagraph"/>
              <w:ind w:left="0"/>
              <w:rPr>
                <w:sz w:val="20"/>
                <w:szCs w:val="20"/>
              </w:rPr>
            </w:pPr>
            <w:r w:rsidRPr="007C2119">
              <w:rPr>
                <w:sz w:val="20"/>
                <w:szCs w:val="20"/>
              </w:rPr>
              <w:t>Cumbernauld</w:t>
            </w:r>
          </w:p>
        </w:tc>
        <w:tc>
          <w:tcPr>
            <w:tcW w:w="1351" w:type="dxa"/>
          </w:tcPr>
          <w:p w14:paraId="34554810" w14:textId="057649CA" w:rsidR="001E1FAA" w:rsidRPr="007C2119" w:rsidRDefault="007C2119" w:rsidP="00F11EF5">
            <w:pPr>
              <w:pStyle w:val="ListParagraph"/>
              <w:ind w:left="0"/>
              <w:rPr>
                <w:sz w:val="20"/>
                <w:szCs w:val="20"/>
              </w:rPr>
            </w:pPr>
            <w:r w:rsidRPr="007C2119">
              <w:rPr>
                <w:sz w:val="20"/>
                <w:szCs w:val="20"/>
              </w:rPr>
              <w:t>MB226</w:t>
            </w:r>
          </w:p>
        </w:tc>
      </w:tr>
      <w:tr w:rsidR="007C2119" w14:paraId="0BBA731E" w14:textId="77777777" w:rsidTr="007C2119">
        <w:tc>
          <w:tcPr>
            <w:tcW w:w="2051" w:type="dxa"/>
          </w:tcPr>
          <w:p w14:paraId="0829999A" w14:textId="41DCBECB"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3EF658D3" w14:textId="53393627" w:rsidR="007C2119" w:rsidRPr="007C2119" w:rsidRDefault="007C2119" w:rsidP="00F11EF5">
            <w:pPr>
              <w:pStyle w:val="ListParagraph"/>
              <w:ind w:left="0"/>
              <w:rPr>
                <w:sz w:val="20"/>
                <w:szCs w:val="20"/>
              </w:rPr>
            </w:pPr>
            <w:r w:rsidRPr="007C2119">
              <w:rPr>
                <w:sz w:val="20"/>
                <w:szCs w:val="20"/>
              </w:rPr>
              <w:t>MB227</w:t>
            </w:r>
          </w:p>
        </w:tc>
      </w:tr>
      <w:tr w:rsidR="007C2119" w14:paraId="15904A77" w14:textId="77777777" w:rsidTr="007C2119">
        <w:tc>
          <w:tcPr>
            <w:tcW w:w="2051" w:type="dxa"/>
          </w:tcPr>
          <w:p w14:paraId="5D4CFE5F" w14:textId="2CCD4585"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6DC76590" w14:textId="312DCC21" w:rsidR="007C2119" w:rsidRPr="007C2119" w:rsidRDefault="007C2119" w:rsidP="00F11EF5">
            <w:pPr>
              <w:pStyle w:val="ListParagraph"/>
              <w:ind w:left="0"/>
              <w:rPr>
                <w:sz w:val="20"/>
                <w:szCs w:val="20"/>
              </w:rPr>
            </w:pPr>
            <w:r w:rsidRPr="007C2119">
              <w:rPr>
                <w:sz w:val="20"/>
                <w:szCs w:val="20"/>
              </w:rPr>
              <w:t>MB229</w:t>
            </w:r>
          </w:p>
        </w:tc>
      </w:tr>
      <w:tr w:rsidR="007C2119" w14:paraId="3BAF5767" w14:textId="77777777" w:rsidTr="007C2119">
        <w:tc>
          <w:tcPr>
            <w:tcW w:w="2051" w:type="dxa"/>
          </w:tcPr>
          <w:p w14:paraId="3C0CCE74" w14:textId="59F0B81C"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52590205" w14:textId="452C5C69" w:rsidR="007C2119" w:rsidRPr="007C2119" w:rsidRDefault="007C2119" w:rsidP="00F11EF5">
            <w:pPr>
              <w:pStyle w:val="ListParagraph"/>
              <w:ind w:left="0"/>
              <w:rPr>
                <w:sz w:val="20"/>
                <w:szCs w:val="20"/>
              </w:rPr>
            </w:pPr>
            <w:r w:rsidRPr="007C2119">
              <w:rPr>
                <w:sz w:val="20"/>
                <w:szCs w:val="20"/>
              </w:rPr>
              <w:t>MB309</w:t>
            </w:r>
          </w:p>
        </w:tc>
      </w:tr>
      <w:tr w:rsidR="007C2119" w14:paraId="0844D8F0" w14:textId="77777777" w:rsidTr="007C2119">
        <w:tc>
          <w:tcPr>
            <w:tcW w:w="2051" w:type="dxa"/>
          </w:tcPr>
          <w:p w14:paraId="7254C804" w14:textId="02D3FE3D"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398A434E" w14:textId="44AA5919" w:rsidR="007C2119" w:rsidRPr="007C2119" w:rsidRDefault="007C2119" w:rsidP="00F11EF5">
            <w:pPr>
              <w:pStyle w:val="ListParagraph"/>
              <w:ind w:left="0"/>
              <w:rPr>
                <w:sz w:val="20"/>
                <w:szCs w:val="20"/>
              </w:rPr>
            </w:pPr>
            <w:r w:rsidRPr="007C2119">
              <w:rPr>
                <w:sz w:val="20"/>
                <w:szCs w:val="20"/>
              </w:rPr>
              <w:t>MB313</w:t>
            </w:r>
          </w:p>
        </w:tc>
      </w:tr>
      <w:tr w:rsidR="007C2119" w14:paraId="7822B7F4" w14:textId="77777777" w:rsidTr="007C2119">
        <w:tc>
          <w:tcPr>
            <w:tcW w:w="2051" w:type="dxa"/>
          </w:tcPr>
          <w:p w14:paraId="18BD532D" w14:textId="0341C5A2"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322CB4D9" w14:textId="2037F2CF" w:rsidR="007C2119" w:rsidRPr="007C2119" w:rsidRDefault="007C2119" w:rsidP="00F11EF5">
            <w:pPr>
              <w:pStyle w:val="ListParagraph"/>
              <w:ind w:left="0"/>
              <w:rPr>
                <w:sz w:val="20"/>
                <w:szCs w:val="20"/>
              </w:rPr>
            </w:pPr>
            <w:r w:rsidRPr="007C2119">
              <w:rPr>
                <w:sz w:val="20"/>
                <w:szCs w:val="20"/>
              </w:rPr>
              <w:t>MB206</w:t>
            </w:r>
          </w:p>
        </w:tc>
      </w:tr>
      <w:tr w:rsidR="007C2119" w14:paraId="2B956ED3" w14:textId="77777777" w:rsidTr="007C2119">
        <w:tc>
          <w:tcPr>
            <w:tcW w:w="2051" w:type="dxa"/>
          </w:tcPr>
          <w:p w14:paraId="03177BD7" w14:textId="0D4795AC"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36F68D3F" w14:textId="5468E34B" w:rsidR="007C2119" w:rsidRPr="007C2119" w:rsidRDefault="007C2119" w:rsidP="00F11EF5">
            <w:pPr>
              <w:pStyle w:val="ListParagraph"/>
              <w:ind w:left="0"/>
              <w:rPr>
                <w:sz w:val="20"/>
                <w:szCs w:val="20"/>
              </w:rPr>
            </w:pPr>
            <w:r w:rsidRPr="007C2119">
              <w:rPr>
                <w:sz w:val="20"/>
                <w:szCs w:val="20"/>
              </w:rPr>
              <w:t>MB320</w:t>
            </w:r>
          </w:p>
        </w:tc>
      </w:tr>
      <w:tr w:rsidR="007C2119" w14:paraId="515EDBA9" w14:textId="77777777" w:rsidTr="007C2119">
        <w:tc>
          <w:tcPr>
            <w:tcW w:w="2051" w:type="dxa"/>
          </w:tcPr>
          <w:p w14:paraId="6F95B218" w14:textId="0E459559"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5CDE25D9" w14:textId="01BCEC55" w:rsidR="007C2119" w:rsidRPr="007C2119" w:rsidRDefault="007C2119" w:rsidP="00F11EF5">
            <w:pPr>
              <w:pStyle w:val="ListParagraph"/>
              <w:ind w:left="0"/>
              <w:rPr>
                <w:sz w:val="20"/>
                <w:szCs w:val="20"/>
              </w:rPr>
            </w:pPr>
            <w:r w:rsidRPr="007C2119">
              <w:rPr>
                <w:sz w:val="20"/>
                <w:szCs w:val="20"/>
              </w:rPr>
              <w:t>MB324</w:t>
            </w:r>
          </w:p>
        </w:tc>
      </w:tr>
      <w:tr w:rsidR="007C2119" w14:paraId="65765844" w14:textId="77777777" w:rsidTr="007C2119">
        <w:tc>
          <w:tcPr>
            <w:tcW w:w="2051" w:type="dxa"/>
          </w:tcPr>
          <w:p w14:paraId="49BBCA67" w14:textId="78A87E60"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4450A929" w14:textId="657BC171" w:rsidR="007C2119" w:rsidRPr="007C2119" w:rsidRDefault="007C2119" w:rsidP="00F11EF5">
            <w:pPr>
              <w:pStyle w:val="ListParagraph"/>
              <w:ind w:left="0"/>
              <w:rPr>
                <w:sz w:val="20"/>
                <w:szCs w:val="20"/>
              </w:rPr>
            </w:pPr>
            <w:r w:rsidRPr="007C2119">
              <w:rPr>
                <w:sz w:val="20"/>
                <w:szCs w:val="20"/>
              </w:rPr>
              <w:t>MB330</w:t>
            </w:r>
          </w:p>
        </w:tc>
      </w:tr>
      <w:tr w:rsidR="007C2119" w14:paraId="7DDE5D5D" w14:textId="77777777" w:rsidTr="007C2119">
        <w:tc>
          <w:tcPr>
            <w:tcW w:w="2051" w:type="dxa"/>
          </w:tcPr>
          <w:p w14:paraId="5AC01F3F" w14:textId="73052451"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177BA7BB" w14:textId="335C3DA0" w:rsidR="007C2119" w:rsidRPr="007C2119" w:rsidRDefault="007C2119" w:rsidP="00F11EF5">
            <w:pPr>
              <w:pStyle w:val="ListParagraph"/>
              <w:ind w:left="0"/>
              <w:rPr>
                <w:sz w:val="20"/>
                <w:szCs w:val="20"/>
              </w:rPr>
            </w:pPr>
            <w:r w:rsidRPr="007C2119">
              <w:rPr>
                <w:sz w:val="20"/>
                <w:szCs w:val="20"/>
              </w:rPr>
              <w:t>Mezzanine</w:t>
            </w:r>
          </w:p>
        </w:tc>
      </w:tr>
      <w:tr w:rsidR="007C2119" w14:paraId="08CD7503" w14:textId="77777777" w:rsidTr="007C2119">
        <w:tc>
          <w:tcPr>
            <w:tcW w:w="2051" w:type="dxa"/>
          </w:tcPr>
          <w:p w14:paraId="027CC698" w14:textId="274F2E30"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07DB72BD" w14:textId="4F6C8158" w:rsidR="007C2119" w:rsidRPr="007C2119" w:rsidRDefault="007C2119" w:rsidP="00F11EF5">
            <w:pPr>
              <w:pStyle w:val="ListParagraph"/>
              <w:ind w:left="0"/>
              <w:rPr>
                <w:sz w:val="20"/>
                <w:szCs w:val="20"/>
              </w:rPr>
            </w:pPr>
            <w:r w:rsidRPr="007C2119">
              <w:rPr>
                <w:sz w:val="20"/>
                <w:szCs w:val="20"/>
              </w:rPr>
              <w:t>MB217</w:t>
            </w:r>
          </w:p>
        </w:tc>
      </w:tr>
      <w:tr w:rsidR="007C2119" w14:paraId="7E7E6EEB" w14:textId="77777777" w:rsidTr="007C2119">
        <w:tc>
          <w:tcPr>
            <w:tcW w:w="2051" w:type="dxa"/>
          </w:tcPr>
          <w:p w14:paraId="19AD50AC" w14:textId="23ABBD88"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28FC9F77" w14:textId="0B13D9D5" w:rsidR="007C2119" w:rsidRPr="007C2119" w:rsidRDefault="007C2119" w:rsidP="00F11EF5">
            <w:pPr>
              <w:pStyle w:val="ListParagraph"/>
              <w:ind w:left="0"/>
              <w:rPr>
                <w:sz w:val="20"/>
                <w:szCs w:val="20"/>
              </w:rPr>
            </w:pPr>
            <w:r w:rsidRPr="007C2119">
              <w:rPr>
                <w:sz w:val="20"/>
                <w:szCs w:val="20"/>
              </w:rPr>
              <w:t>MB219</w:t>
            </w:r>
          </w:p>
        </w:tc>
      </w:tr>
      <w:tr w:rsidR="007C2119" w14:paraId="0DA5CD9A" w14:textId="77777777" w:rsidTr="007C2119">
        <w:tc>
          <w:tcPr>
            <w:tcW w:w="2051" w:type="dxa"/>
          </w:tcPr>
          <w:p w14:paraId="6A145D6F" w14:textId="0E92D8EF" w:rsidR="007C2119" w:rsidRPr="007C2119" w:rsidRDefault="007C2119" w:rsidP="00F11EF5">
            <w:pPr>
              <w:pStyle w:val="ListParagraph"/>
              <w:ind w:left="0"/>
              <w:rPr>
                <w:sz w:val="20"/>
                <w:szCs w:val="20"/>
              </w:rPr>
            </w:pPr>
            <w:r w:rsidRPr="007C2119">
              <w:rPr>
                <w:sz w:val="20"/>
                <w:szCs w:val="20"/>
              </w:rPr>
              <w:t>Cumbernauld</w:t>
            </w:r>
          </w:p>
        </w:tc>
        <w:tc>
          <w:tcPr>
            <w:tcW w:w="1351" w:type="dxa"/>
          </w:tcPr>
          <w:p w14:paraId="2A5157E6" w14:textId="591A7BD1" w:rsidR="007C2119" w:rsidRPr="007C2119" w:rsidRDefault="007C2119" w:rsidP="00F11EF5">
            <w:pPr>
              <w:pStyle w:val="ListParagraph"/>
              <w:ind w:left="0"/>
              <w:rPr>
                <w:sz w:val="20"/>
                <w:szCs w:val="20"/>
              </w:rPr>
            </w:pPr>
            <w:r w:rsidRPr="007C2119">
              <w:rPr>
                <w:sz w:val="20"/>
                <w:szCs w:val="20"/>
              </w:rPr>
              <w:t>W5</w:t>
            </w:r>
          </w:p>
        </w:tc>
      </w:tr>
    </w:tbl>
    <w:p w14:paraId="4E3CA62F" w14:textId="7B546BC4" w:rsidR="001E1FAA" w:rsidRDefault="001E1FAA" w:rsidP="00F11EF5">
      <w:pPr>
        <w:pStyle w:val="ListParagraph"/>
        <w:rPr>
          <w:sz w:val="24"/>
          <w:szCs w:val="24"/>
        </w:rPr>
      </w:pPr>
    </w:p>
    <w:p w14:paraId="70B736AF" w14:textId="2BA35810" w:rsidR="00652CA2" w:rsidRDefault="00652CA2" w:rsidP="00F11EF5">
      <w:pPr>
        <w:pStyle w:val="ListParagraph"/>
        <w:rPr>
          <w:sz w:val="24"/>
          <w:szCs w:val="24"/>
        </w:rPr>
      </w:pPr>
      <w:r>
        <w:rPr>
          <w:sz w:val="24"/>
          <w:szCs w:val="24"/>
        </w:rPr>
        <w:lastRenderedPageBreak/>
        <w:t>This brings the total number of new screens installed to 52 at a total cost of £185k. In addition</w:t>
      </w:r>
      <w:r w:rsidR="00C47E87">
        <w:rPr>
          <w:sz w:val="24"/>
          <w:szCs w:val="24"/>
        </w:rPr>
        <w:t>,</w:t>
      </w:r>
      <w:r>
        <w:rPr>
          <w:sz w:val="24"/>
          <w:szCs w:val="24"/>
        </w:rPr>
        <w:t xml:space="preserve"> we </w:t>
      </w:r>
      <w:r w:rsidR="00C47E87">
        <w:rPr>
          <w:sz w:val="24"/>
          <w:szCs w:val="24"/>
        </w:rPr>
        <w:t>were able to install seven new Clevertouch inter-active display panels in the following locations at a total cost of £31,985 (exc. VAT).</w:t>
      </w:r>
      <w:r>
        <w:rPr>
          <w:sz w:val="24"/>
          <w:szCs w:val="24"/>
        </w:rPr>
        <w:t xml:space="preserve"> </w:t>
      </w:r>
    </w:p>
    <w:p w14:paraId="2DE51C1E" w14:textId="4974663E" w:rsidR="00F11EF5" w:rsidRDefault="00F11EF5" w:rsidP="00F11EF5">
      <w:pPr>
        <w:pStyle w:val="ListParagraph"/>
        <w:rPr>
          <w:sz w:val="24"/>
          <w:szCs w:val="24"/>
        </w:rPr>
      </w:pPr>
    </w:p>
    <w:tbl>
      <w:tblPr>
        <w:tblW w:w="0" w:type="auto"/>
        <w:tblInd w:w="35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60"/>
        <w:gridCol w:w="1374"/>
      </w:tblGrid>
      <w:tr w:rsidR="00C47E87" w:rsidRPr="00C47E87" w14:paraId="091A77CF"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DB77A" w14:textId="77777777" w:rsidR="00C47E87" w:rsidRPr="00C47E87" w:rsidRDefault="00C47E87" w:rsidP="00C47E87">
            <w:pPr>
              <w:jc w:val="center"/>
              <w:rPr>
                <w:rFonts w:ascii="Calibri" w:eastAsia="Times New Roman" w:hAnsi="Calibri" w:cs="Calibri"/>
                <w:sz w:val="20"/>
                <w:szCs w:val="20"/>
                <w:lang w:eastAsia="en-GB"/>
              </w:rPr>
            </w:pPr>
            <w:r w:rsidRPr="00C47E87">
              <w:rPr>
                <w:rFonts w:ascii="Calibri" w:eastAsia="Times New Roman" w:hAnsi="Calibri" w:cs="Calibri"/>
                <w:b/>
                <w:bCs/>
                <w:sz w:val="20"/>
                <w:szCs w:val="20"/>
                <w:u w:val="single"/>
                <w:lang w:eastAsia="en-GB"/>
              </w:rPr>
              <w:t>Room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E4A1A8" w14:textId="77777777" w:rsidR="00C47E87" w:rsidRPr="00C47E87" w:rsidRDefault="00C47E87" w:rsidP="00C47E87">
            <w:pPr>
              <w:jc w:val="center"/>
              <w:rPr>
                <w:rFonts w:ascii="Calibri" w:eastAsia="Times New Roman" w:hAnsi="Calibri" w:cs="Calibri"/>
                <w:sz w:val="20"/>
                <w:szCs w:val="20"/>
                <w:lang w:eastAsia="en-GB"/>
              </w:rPr>
            </w:pPr>
            <w:r w:rsidRPr="00C47E87">
              <w:rPr>
                <w:rFonts w:ascii="Calibri" w:eastAsia="Times New Roman" w:hAnsi="Calibri" w:cs="Calibri"/>
                <w:b/>
                <w:bCs/>
                <w:sz w:val="20"/>
                <w:szCs w:val="20"/>
                <w:u w:val="single"/>
                <w:lang w:eastAsia="en-GB"/>
              </w:rPr>
              <w:t>Campus</w:t>
            </w:r>
          </w:p>
        </w:tc>
      </w:tr>
      <w:tr w:rsidR="00C47E87" w:rsidRPr="00C47E87" w14:paraId="4C86964F"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730881" w14:textId="77777777" w:rsidR="00C47E87" w:rsidRPr="00C47E87" w:rsidRDefault="00C47E87" w:rsidP="00C47E87">
            <w:pPr>
              <w:jc w:val="cente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W112</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1A2190" w14:textId="461FEDEE" w:rsidR="00C47E87" w:rsidRPr="00C47E87" w:rsidRDefault="00C47E87" w:rsidP="00C5724F">
            <w:pP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M</w:t>
            </w:r>
            <w:r w:rsidRPr="002B1763">
              <w:rPr>
                <w:rFonts w:ascii="Calibri" w:eastAsia="Times New Roman" w:hAnsi="Calibri" w:cs="Calibri"/>
                <w:sz w:val="20"/>
                <w:szCs w:val="20"/>
                <w:lang w:eastAsia="en-GB"/>
              </w:rPr>
              <w:t>other</w:t>
            </w:r>
            <w:r w:rsidRPr="00C47E87">
              <w:rPr>
                <w:rFonts w:ascii="Calibri" w:eastAsia="Times New Roman" w:hAnsi="Calibri" w:cs="Calibri"/>
                <w:sz w:val="20"/>
                <w:szCs w:val="20"/>
                <w:lang w:eastAsia="en-GB"/>
              </w:rPr>
              <w:t>well</w:t>
            </w:r>
          </w:p>
        </w:tc>
      </w:tr>
      <w:tr w:rsidR="00C47E87" w:rsidRPr="00C47E87" w14:paraId="57A3AA0B"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413E6C" w14:textId="77777777" w:rsidR="00C47E87" w:rsidRPr="00C47E87" w:rsidRDefault="00C47E87" w:rsidP="00C47E87">
            <w:pPr>
              <w:jc w:val="cente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2016</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049A62" w14:textId="5C58320B" w:rsidR="00C47E87" w:rsidRPr="00C47E87" w:rsidRDefault="00C47E87" w:rsidP="00C5724F">
            <w:pP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M</w:t>
            </w:r>
            <w:r w:rsidRPr="002B1763">
              <w:rPr>
                <w:rFonts w:ascii="Calibri" w:eastAsia="Times New Roman" w:hAnsi="Calibri" w:cs="Calibri"/>
                <w:sz w:val="20"/>
                <w:szCs w:val="20"/>
                <w:lang w:eastAsia="en-GB"/>
              </w:rPr>
              <w:t>other</w:t>
            </w:r>
            <w:r w:rsidRPr="00C47E87">
              <w:rPr>
                <w:rFonts w:ascii="Calibri" w:eastAsia="Times New Roman" w:hAnsi="Calibri" w:cs="Calibri"/>
                <w:sz w:val="20"/>
                <w:szCs w:val="20"/>
                <w:lang w:eastAsia="en-GB"/>
              </w:rPr>
              <w:t>well</w:t>
            </w:r>
          </w:p>
        </w:tc>
      </w:tr>
      <w:tr w:rsidR="00C47E87" w:rsidRPr="00C47E87" w14:paraId="109CA199"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DB1FB1" w14:textId="2304FE8A" w:rsidR="00C47E87" w:rsidRPr="002B1763" w:rsidRDefault="00C47E87" w:rsidP="00C47E87">
            <w:pPr>
              <w:jc w:val="center"/>
              <w:rPr>
                <w:rFonts w:ascii="Calibri" w:eastAsia="Times New Roman" w:hAnsi="Calibri" w:cs="Calibri"/>
                <w:sz w:val="20"/>
                <w:szCs w:val="20"/>
                <w:lang w:eastAsia="en-GB"/>
              </w:rPr>
            </w:pPr>
            <w:r w:rsidRPr="002B1763">
              <w:rPr>
                <w:rFonts w:ascii="Calibri" w:eastAsia="Times New Roman" w:hAnsi="Calibri" w:cs="Calibri"/>
                <w:sz w:val="20"/>
                <w:szCs w:val="20"/>
                <w:lang w:eastAsia="en-GB"/>
              </w:rPr>
              <w:t>1C02</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5BAA30" w14:textId="443A181C" w:rsidR="00C47E87" w:rsidRPr="002B1763" w:rsidRDefault="00C47E87" w:rsidP="00C5724F">
            <w:pPr>
              <w:rPr>
                <w:rFonts w:ascii="Calibri" w:eastAsia="Times New Roman" w:hAnsi="Calibri" w:cs="Calibri"/>
                <w:sz w:val="20"/>
                <w:szCs w:val="20"/>
                <w:lang w:eastAsia="en-GB"/>
              </w:rPr>
            </w:pPr>
            <w:r w:rsidRPr="002B1763">
              <w:rPr>
                <w:rFonts w:ascii="Calibri" w:eastAsia="Times New Roman" w:hAnsi="Calibri" w:cs="Calibri"/>
                <w:sz w:val="20"/>
                <w:szCs w:val="20"/>
                <w:lang w:eastAsia="en-GB"/>
              </w:rPr>
              <w:t>Motherwell</w:t>
            </w:r>
          </w:p>
        </w:tc>
      </w:tr>
      <w:tr w:rsidR="00C47E87" w:rsidRPr="00C47E87" w14:paraId="40A334D2"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BF5F5B" w14:textId="77777777" w:rsidR="00C47E87" w:rsidRPr="00C47E87" w:rsidRDefault="00C47E87" w:rsidP="00C47E87">
            <w:pPr>
              <w:jc w:val="cente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NB108</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A0D76" w14:textId="15CB2E9F" w:rsidR="00C47E87" w:rsidRPr="00C47E87" w:rsidRDefault="00C47E87" w:rsidP="00C5724F">
            <w:pP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C</w:t>
            </w:r>
            <w:r w:rsidRPr="002B1763">
              <w:rPr>
                <w:rFonts w:ascii="Calibri" w:eastAsia="Times New Roman" w:hAnsi="Calibri" w:cs="Calibri"/>
                <w:sz w:val="20"/>
                <w:szCs w:val="20"/>
                <w:lang w:eastAsia="en-GB"/>
              </w:rPr>
              <w:t>umber</w:t>
            </w:r>
            <w:r w:rsidRPr="00C47E87">
              <w:rPr>
                <w:rFonts w:ascii="Calibri" w:eastAsia="Times New Roman" w:hAnsi="Calibri" w:cs="Calibri"/>
                <w:sz w:val="20"/>
                <w:szCs w:val="20"/>
                <w:lang w:eastAsia="en-GB"/>
              </w:rPr>
              <w:t>nauld</w:t>
            </w:r>
          </w:p>
        </w:tc>
      </w:tr>
      <w:tr w:rsidR="00C47E87" w:rsidRPr="00C47E87" w14:paraId="119C0943"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2E24AB" w14:textId="77777777" w:rsidR="00C47E87" w:rsidRPr="00C47E87" w:rsidRDefault="00C47E87" w:rsidP="00C47E87">
            <w:pPr>
              <w:jc w:val="cente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NB010</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419FCC" w14:textId="2CD22E58" w:rsidR="00C47E87" w:rsidRPr="00C47E87" w:rsidRDefault="00C47E87" w:rsidP="00C5724F">
            <w:pPr>
              <w:rPr>
                <w:rFonts w:ascii="Calibri" w:eastAsia="Times New Roman" w:hAnsi="Calibri" w:cs="Calibri"/>
                <w:sz w:val="20"/>
                <w:szCs w:val="20"/>
                <w:lang w:eastAsia="en-GB"/>
              </w:rPr>
            </w:pPr>
            <w:r w:rsidRPr="00C47E87">
              <w:rPr>
                <w:rFonts w:ascii="Calibri" w:eastAsia="Times New Roman" w:hAnsi="Calibri" w:cs="Calibri"/>
                <w:sz w:val="20"/>
                <w:szCs w:val="20"/>
                <w:lang w:eastAsia="en-GB"/>
              </w:rPr>
              <w:t>C</w:t>
            </w:r>
            <w:r w:rsidRPr="002B1763">
              <w:rPr>
                <w:rFonts w:ascii="Calibri" w:eastAsia="Times New Roman" w:hAnsi="Calibri" w:cs="Calibri"/>
                <w:sz w:val="20"/>
                <w:szCs w:val="20"/>
                <w:lang w:eastAsia="en-GB"/>
              </w:rPr>
              <w:t>umbernauld</w:t>
            </w:r>
          </w:p>
        </w:tc>
      </w:tr>
      <w:tr w:rsidR="00C47E87" w:rsidRPr="00C47E87" w14:paraId="4E3F685B"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1C1300" w14:textId="2E795013" w:rsidR="00C47E87" w:rsidRPr="00C47E87" w:rsidRDefault="00C47E87" w:rsidP="00C47E87">
            <w:pPr>
              <w:jc w:val="center"/>
              <w:rPr>
                <w:rFonts w:ascii="Calibri" w:eastAsia="Times New Roman" w:hAnsi="Calibri" w:cs="Calibri"/>
                <w:sz w:val="20"/>
                <w:szCs w:val="20"/>
                <w:lang w:eastAsia="en-GB"/>
              </w:rPr>
            </w:pPr>
            <w:r w:rsidRPr="002B1763">
              <w:rPr>
                <w:rFonts w:ascii="Calibri" w:eastAsia="Times New Roman" w:hAnsi="Calibri" w:cs="Calibri"/>
                <w:sz w:val="20"/>
                <w:szCs w:val="20"/>
                <w:lang w:eastAsia="en-GB"/>
              </w:rPr>
              <w:t>S17</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11C1AB" w14:textId="26089F55" w:rsidR="00C47E87" w:rsidRPr="00C47E87" w:rsidRDefault="00C47E87" w:rsidP="00C5724F">
            <w:pPr>
              <w:rPr>
                <w:rFonts w:ascii="Calibri" w:eastAsia="Times New Roman" w:hAnsi="Calibri" w:cs="Calibri"/>
                <w:sz w:val="20"/>
                <w:szCs w:val="20"/>
                <w:lang w:eastAsia="en-GB"/>
              </w:rPr>
            </w:pPr>
            <w:r w:rsidRPr="002B1763">
              <w:rPr>
                <w:rFonts w:ascii="Calibri" w:eastAsia="Times New Roman" w:hAnsi="Calibri" w:cs="Calibri"/>
                <w:sz w:val="20"/>
                <w:szCs w:val="20"/>
                <w:lang w:eastAsia="en-GB"/>
              </w:rPr>
              <w:t>Coatbridge</w:t>
            </w:r>
          </w:p>
        </w:tc>
      </w:tr>
      <w:tr w:rsidR="00C47E87" w:rsidRPr="00C47E87" w14:paraId="1CF51691" w14:textId="77777777" w:rsidTr="00C47E87">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3CECA5" w14:textId="6C817CF5" w:rsidR="00C47E87" w:rsidRPr="002B1763" w:rsidRDefault="00C47E87" w:rsidP="00C47E87">
            <w:pPr>
              <w:jc w:val="center"/>
              <w:rPr>
                <w:rFonts w:ascii="Calibri" w:eastAsia="Times New Roman" w:hAnsi="Calibri" w:cs="Calibri"/>
                <w:sz w:val="20"/>
                <w:szCs w:val="20"/>
                <w:lang w:eastAsia="en-GB"/>
              </w:rPr>
            </w:pPr>
            <w:r w:rsidRPr="002B1763">
              <w:rPr>
                <w:rFonts w:ascii="Calibri" w:eastAsia="Times New Roman" w:hAnsi="Calibri" w:cs="Calibri"/>
                <w:sz w:val="20"/>
                <w:szCs w:val="20"/>
                <w:lang w:eastAsia="en-GB"/>
              </w:rPr>
              <w:t>S24</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4F1C14" w14:textId="64F1DFAA" w:rsidR="00C47E87" w:rsidRPr="002B1763" w:rsidRDefault="00C47E87" w:rsidP="00C5724F">
            <w:pPr>
              <w:rPr>
                <w:rFonts w:ascii="Calibri" w:eastAsia="Times New Roman" w:hAnsi="Calibri" w:cs="Calibri"/>
                <w:sz w:val="20"/>
                <w:szCs w:val="20"/>
                <w:lang w:eastAsia="en-GB"/>
              </w:rPr>
            </w:pPr>
            <w:r w:rsidRPr="002B1763">
              <w:rPr>
                <w:rFonts w:ascii="Calibri" w:eastAsia="Times New Roman" w:hAnsi="Calibri" w:cs="Calibri"/>
                <w:sz w:val="20"/>
                <w:szCs w:val="20"/>
                <w:lang w:eastAsia="en-GB"/>
              </w:rPr>
              <w:t>Coatbridge</w:t>
            </w:r>
          </w:p>
        </w:tc>
      </w:tr>
    </w:tbl>
    <w:p w14:paraId="11832CF9" w14:textId="77777777" w:rsidR="00F11EF5" w:rsidRDefault="00F11EF5" w:rsidP="00F11EF5">
      <w:pPr>
        <w:pStyle w:val="ListParagraph"/>
        <w:rPr>
          <w:sz w:val="24"/>
          <w:szCs w:val="24"/>
        </w:rPr>
      </w:pPr>
    </w:p>
    <w:p w14:paraId="3EB4E17C" w14:textId="0689DC43" w:rsidR="00C5724F" w:rsidRDefault="00C47E87" w:rsidP="00C47E87">
      <w:pPr>
        <w:pStyle w:val="ListParagraph"/>
        <w:rPr>
          <w:sz w:val="24"/>
          <w:szCs w:val="24"/>
        </w:rPr>
      </w:pPr>
      <w:r>
        <w:rPr>
          <w:sz w:val="24"/>
          <w:szCs w:val="24"/>
        </w:rPr>
        <w:t>Clevertouch ha</w:t>
      </w:r>
      <w:r w:rsidR="006C6CF3">
        <w:rPr>
          <w:sz w:val="24"/>
          <w:szCs w:val="24"/>
        </w:rPr>
        <w:t>ve</w:t>
      </w:r>
      <w:r>
        <w:rPr>
          <w:sz w:val="24"/>
          <w:szCs w:val="24"/>
        </w:rPr>
        <w:t xml:space="preserve"> been identified as the inter-active screens of choice for the 2</w:t>
      </w:r>
      <w:r w:rsidRPr="00C47E87">
        <w:rPr>
          <w:sz w:val="24"/>
          <w:szCs w:val="24"/>
          <w:vertAlign w:val="superscript"/>
        </w:rPr>
        <w:t>nd</w:t>
      </w:r>
      <w:r>
        <w:rPr>
          <w:sz w:val="24"/>
          <w:szCs w:val="24"/>
        </w:rPr>
        <w:t xml:space="preserve"> phase of the </w:t>
      </w:r>
      <w:r w:rsidR="00C5724F">
        <w:rPr>
          <w:sz w:val="24"/>
          <w:szCs w:val="24"/>
        </w:rPr>
        <w:t>three-year refresh programme and having them installed at the three main campuses provides an opportunity for staff to become familiar with the equipment. Formal staff training was conducted at the Motherwell campus by Clevertouch on 18</w:t>
      </w:r>
      <w:r w:rsidR="00C5724F" w:rsidRPr="00C5724F">
        <w:rPr>
          <w:sz w:val="24"/>
          <w:szCs w:val="24"/>
          <w:vertAlign w:val="superscript"/>
        </w:rPr>
        <w:t>th</w:t>
      </w:r>
      <w:r w:rsidR="00C5724F">
        <w:rPr>
          <w:sz w:val="24"/>
          <w:szCs w:val="24"/>
        </w:rPr>
        <w:t xml:space="preserve"> May.</w:t>
      </w:r>
    </w:p>
    <w:p w14:paraId="31932945" w14:textId="4FB753D4" w:rsidR="00C47E87" w:rsidRDefault="00C5724F" w:rsidP="00C47E87">
      <w:pPr>
        <w:pStyle w:val="ListParagraph"/>
        <w:rPr>
          <w:sz w:val="24"/>
          <w:szCs w:val="24"/>
        </w:rPr>
      </w:pPr>
      <w:r>
        <w:rPr>
          <w:sz w:val="24"/>
          <w:szCs w:val="24"/>
        </w:rPr>
        <w:t xml:space="preserve"> </w:t>
      </w:r>
    </w:p>
    <w:p w14:paraId="54CCA715" w14:textId="356D4827" w:rsidR="001D55E6" w:rsidRDefault="001D55E6" w:rsidP="001D55E6">
      <w:pPr>
        <w:pStyle w:val="ListParagraph"/>
        <w:rPr>
          <w:sz w:val="24"/>
          <w:szCs w:val="24"/>
        </w:rPr>
      </w:pPr>
      <w:r>
        <w:rPr>
          <w:sz w:val="24"/>
          <w:szCs w:val="24"/>
        </w:rPr>
        <w:t>As previously reported</w:t>
      </w:r>
      <w:r w:rsidR="00B70B54">
        <w:rPr>
          <w:sz w:val="24"/>
          <w:szCs w:val="24"/>
        </w:rPr>
        <w:t>,</w:t>
      </w:r>
      <w:r>
        <w:rPr>
          <w:sz w:val="24"/>
          <w:szCs w:val="24"/>
        </w:rPr>
        <w:t xml:space="preserve"> 4 x hybrid teaching classrooms were </w:t>
      </w:r>
      <w:r w:rsidR="00B70B54">
        <w:rPr>
          <w:sz w:val="24"/>
          <w:szCs w:val="24"/>
        </w:rPr>
        <w:t xml:space="preserve">commissioned across the three main campuses in December of last year. </w:t>
      </w:r>
      <w:r>
        <w:rPr>
          <w:sz w:val="24"/>
          <w:szCs w:val="24"/>
        </w:rPr>
        <w:t>The college now has a total of five hybrid teaching rooms in the following locations:</w:t>
      </w:r>
    </w:p>
    <w:p w14:paraId="4A32B4A8" w14:textId="77777777" w:rsidR="001D55E6" w:rsidRDefault="001D55E6" w:rsidP="001D55E6">
      <w:pPr>
        <w:pStyle w:val="ListParagraph"/>
        <w:rPr>
          <w:sz w:val="24"/>
          <w:szCs w:val="24"/>
        </w:rPr>
      </w:pPr>
    </w:p>
    <w:p w14:paraId="16497DAE" w14:textId="77777777" w:rsidR="001D55E6" w:rsidRDefault="001D55E6" w:rsidP="001D55E6">
      <w:pPr>
        <w:pStyle w:val="ListParagraph"/>
        <w:rPr>
          <w:sz w:val="24"/>
          <w:szCs w:val="24"/>
        </w:rPr>
      </w:pPr>
      <w:r>
        <w:rPr>
          <w:sz w:val="24"/>
          <w:szCs w:val="24"/>
        </w:rPr>
        <w:t>Motherwell – 4004 &amp; 3015</w:t>
      </w:r>
    </w:p>
    <w:p w14:paraId="1C673E3A" w14:textId="77777777" w:rsidR="001D55E6" w:rsidRDefault="001D55E6" w:rsidP="001D55E6">
      <w:pPr>
        <w:pStyle w:val="ListParagraph"/>
        <w:rPr>
          <w:sz w:val="24"/>
          <w:szCs w:val="24"/>
        </w:rPr>
      </w:pPr>
      <w:r>
        <w:rPr>
          <w:sz w:val="24"/>
          <w:szCs w:val="24"/>
        </w:rPr>
        <w:t>Coatbridge – G10 &amp; S46</w:t>
      </w:r>
    </w:p>
    <w:p w14:paraId="3FCAEB85" w14:textId="77777777" w:rsidR="001D55E6" w:rsidRDefault="001D55E6" w:rsidP="001D55E6">
      <w:pPr>
        <w:pStyle w:val="ListParagraph"/>
        <w:rPr>
          <w:sz w:val="24"/>
          <w:szCs w:val="24"/>
        </w:rPr>
      </w:pPr>
      <w:r>
        <w:rPr>
          <w:sz w:val="24"/>
          <w:szCs w:val="24"/>
        </w:rPr>
        <w:t>Cumbernauld – EB208</w:t>
      </w:r>
    </w:p>
    <w:p w14:paraId="538FDC08" w14:textId="3E6F8642" w:rsidR="001D55E6" w:rsidRDefault="001D55E6" w:rsidP="00C47E87">
      <w:pPr>
        <w:pStyle w:val="ListParagraph"/>
        <w:rPr>
          <w:sz w:val="24"/>
          <w:szCs w:val="24"/>
        </w:rPr>
      </w:pPr>
    </w:p>
    <w:p w14:paraId="577E5DCE" w14:textId="0F3D4A09" w:rsidR="00B70B54" w:rsidRDefault="00B70B54" w:rsidP="00C47E87">
      <w:pPr>
        <w:pStyle w:val="ListParagraph"/>
        <w:rPr>
          <w:sz w:val="24"/>
          <w:szCs w:val="24"/>
        </w:rPr>
      </w:pPr>
      <w:r>
        <w:rPr>
          <w:sz w:val="24"/>
          <w:szCs w:val="24"/>
        </w:rPr>
        <w:t>The total cost of this project was £49,750</w:t>
      </w:r>
      <w:r w:rsidR="002B1763">
        <w:rPr>
          <w:sz w:val="24"/>
          <w:szCs w:val="24"/>
        </w:rPr>
        <w:t xml:space="preserve"> (exc. VAT)</w:t>
      </w:r>
      <w:r>
        <w:rPr>
          <w:sz w:val="24"/>
          <w:szCs w:val="24"/>
        </w:rPr>
        <w:t>.</w:t>
      </w:r>
    </w:p>
    <w:p w14:paraId="0C1E51C5" w14:textId="0233A0A7" w:rsidR="008F0F97" w:rsidRDefault="008F0F97" w:rsidP="00C47E87">
      <w:pPr>
        <w:pStyle w:val="ListParagraph"/>
        <w:rPr>
          <w:sz w:val="24"/>
          <w:szCs w:val="24"/>
        </w:rPr>
      </w:pPr>
    </w:p>
    <w:p w14:paraId="11A6CEFC" w14:textId="2C829A38" w:rsidR="008F0F97" w:rsidRPr="008F0F97" w:rsidRDefault="008F0F97" w:rsidP="00C47E87">
      <w:pPr>
        <w:pStyle w:val="ListParagraph"/>
        <w:rPr>
          <w:b/>
          <w:sz w:val="24"/>
          <w:szCs w:val="24"/>
        </w:rPr>
      </w:pPr>
      <w:r w:rsidRPr="008F0F97">
        <w:rPr>
          <w:b/>
          <w:sz w:val="24"/>
          <w:szCs w:val="24"/>
        </w:rPr>
        <w:t>Replace phone system with ‘PBX in the Cloud’ to address issues with current Cisco system</w:t>
      </w:r>
      <w:r>
        <w:rPr>
          <w:b/>
          <w:sz w:val="24"/>
          <w:szCs w:val="24"/>
        </w:rPr>
        <w:t>.</w:t>
      </w:r>
    </w:p>
    <w:p w14:paraId="10D4896B" w14:textId="1ED35227" w:rsidR="00B70B54" w:rsidRDefault="00D85D1C" w:rsidP="00C47E87">
      <w:pPr>
        <w:pStyle w:val="ListParagraph"/>
        <w:rPr>
          <w:sz w:val="24"/>
          <w:szCs w:val="24"/>
        </w:rPr>
      </w:pPr>
      <w:r>
        <w:rPr>
          <w:sz w:val="24"/>
          <w:szCs w:val="24"/>
        </w:rPr>
        <w:t xml:space="preserve">As previously reported </w:t>
      </w:r>
      <w:r w:rsidR="00A51F32">
        <w:rPr>
          <w:sz w:val="24"/>
          <w:szCs w:val="24"/>
        </w:rPr>
        <w:t>all of the college’s main phone lines were migrated from ISDN 30 to SIP trunks in November 2022 and t</w:t>
      </w:r>
      <w:r w:rsidR="00A51F32">
        <w:rPr>
          <w:sz w:val="24"/>
          <w:szCs w:val="24"/>
        </w:rPr>
        <w:t>he licences for Microsoft Teams were purchased on 1</w:t>
      </w:r>
      <w:r w:rsidR="00A51F32" w:rsidRPr="00A51F32">
        <w:rPr>
          <w:sz w:val="24"/>
          <w:szCs w:val="24"/>
          <w:vertAlign w:val="superscript"/>
        </w:rPr>
        <w:t>st</w:t>
      </w:r>
      <w:r w:rsidR="00A51F32">
        <w:rPr>
          <w:sz w:val="24"/>
          <w:szCs w:val="24"/>
        </w:rPr>
        <w:t xml:space="preserve"> March </w:t>
      </w:r>
      <w:r w:rsidR="00A51F32">
        <w:rPr>
          <w:sz w:val="24"/>
          <w:szCs w:val="24"/>
        </w:rPr>
        <w:t>2023. After some delay caused by BT</w:t>
      </w:r>
      <w:r w:rsidR="00967FF1">
        <w:rPr>
          <w:sz w:val="24"/>
          <w:szCs w:val="24"/>
        </w:rPr>
        <w:t>,</w:t>
      </w:r>
      <w:r w:rsidR="00A51F32">
        <w:rPr>
          <w:sz w:val="24"/>
          <w:szCs w:val="24"/>
        </w:rPr>
        <w:t xml:space="preserve"> the DDI number port for the Motherwell campus was successfully completed in April 2023. A s</w:t>
      </w:r>
      <w:r w:rsidR="00E17B71">
        <w:rPr>
          <w:sz w:val="24"/>
          <w:szCs w:val="24"/>
        </w:rPr>
        <w:t xml:space="preserve">mall pilot of Teams telephony will be conducted in June and July with a view to rolling out to all staff in August/September. The new system will allow staff to make and receive both internal and external calls, via the college telephone system using Microsoft Teams regardless of their location, i.e. on or off campus. The total cost of this project to </w:t>
      </w:r>
      <w:r w:rsidR="00E17B71">
        <w:rPr>
          <w:sz w:val="24"/>
          <w:szCs w:val="24"/>
        </w:rPr>
        <w:lastRenderedPageBreak/>
        <w:t>date is £</w:t>
      </w:r>
      <w:r w:rsidR="0061312D">
        <w:rPr>
          <w:sz w:val="24"/>
          <w:szCs w:val="24"/>
        </w:rPr>
        <w:t>62,262</w:t>
      </w:r>
      <w:r w:rsidR="00E17B71">
        <w:rPr>
          <w:sz w:val="24"/>
          <w:szCs w:val="24"/>
        </w:rPr>
        <w:t xml:space="preserve"> exc. VAT</w:t>
      </w:r>
      <w:r w:rsidR="00C071FD">
        <w:rPr>
          <w:sz w:val="24"/>
          <w:szCs w:val="24"/>
        </w:rPr>
        <w:t xml:space="preserve"> but will generate savings of approximately 25% to 30% on the college’s annual telephone bill.</w:t>
      </w:r>
    </w:p>
    <w:p w14:paraId="17F39024" w14:textId="49531348" w:rsidR="004F0A93" w:rsidRPr="004F0A93" w:rsidRDefault="004F0A93" w:rsidP="004F0A93">
      <w:pPr>
        <w:ind w:left="720"/>
        <w:rPr>
          <w:b/>
        </w:rPr>
      </w:pPr>
      <w:r w:rsidRPr="004F0A93">
        <w:rPr>
          <w:b/>
        </w:rPr>
        <w:t>Conduct a review of the in-house server, storage &amp; backup infrastructure.</w:t>
      </w:r>
    </w:p>
    <w:p w14:paraId="13178ED2" w14:textId="7E55ACBB" w:rsidR="004F0A93" w:rsidRDefault="00144C72" w:rsidP="004F0A93">
      <w:pPr>
        <w:ind w:left="720"/>
      </w:pPr>
      <w:r>
        <w:t>An internal review of the college’s server, storage and backup infrastructure was completed in March 2023. This will allow us to create the technical specification</w:t>
      </w:r>
      <w:r w:rsidR="002474ED">
        <w:t>s</w:t>
      </w:r>
      <w:r>
        <w:t xml:space="preserve"> for the procurement </w:t>
      </w:r>
      <w:r w:rsidR="002474ED">
        <w:t xml:space="preserve">of the </w:t>
      </w:r>
      <w:r w:rsidR="007151F9">
        <w:t xml:space="preserve">new equipment required to </w:t>
      </w:r>
      <w:r w:rsidR="002474ED">
        <w:t xml:space="preserve">upgrade </w:t>
      </w:r>
      <w:r w:rsidR="007151F9">
        <w:t xml:space="preserve">the infrastructure </w:t>
      </w:r>
      <w:r w:rsidR="00CF0A2D">
        <w:t xml:space="preserve">which is </w:t>
      </w:r>
      <w:r w:rsidR="007151F9">
        <w:t>part of next year’s plan.</w:t>
      </w:r>
    </w:p>
    <w:p w14:paraId="5FA982CF" w14:textId="77777777" w:rsidR="004F0A93" w:rsidRPr="004F0A93" w:rsidRDefault="004F0A93" w:rsidP="004F0A93">
      <w:pPr>
        <w:ind w:left="720"/>
      </w:pPr>
    </w:p>
    <w:p w14:paraId="75ED62B5" w14:textId="050C215C" w:rsidR="004F0A93" w:rsidRPr="004F0A93" w:rsidRDefault="004F0A93" w:rsidP="004F0A93">
      <w:pPr>
        <w:ind w:left="720"/>
        <w:rPr>
          <w:b/>
        </w:rPr>
      </w:pPr>
      <w:r w:rsidRPr="004F0A93">
        <w:rPr>
          <w:b/>
        </w:rPr>
        <w:t>Review the allocation of college mobile phones.</w:t>
      </w:r>
    </w:p>
    <w:p w14:paraId="35A2B67A" w14:textId="594E0728" w:rsidR="00923455" w:rsidRDefault="00CC35F0" w:rsidP="00923455">
      <w:pPr>
        <w:ind w:left="720"/>
      </w:pPr>
      <w:r>
        <w:t xml:space="preserve">As previously reported </w:t>
      </w:r>
      <w:r w:rsidR="00923455">
        <w:t>t</w:t>
      </w:r>
      <w:r w:rsidR="00923455" w:rsidRPr="008945B2">
        <w:t xml:space="preserve">he college re-tendered the contract for mobile phones in 2022 and this was awarded to Vodaphone under the Scottish Government Public Sector Framework. At the same time a review of mobile phone use within NCL was undertaken which allowed us to reduce the number of contracts in use from 135 to 90 in total. The migration of the numbers from O2 to Vodaphone was completed in January and </w:t>
      </w:r>
      <w:r w:rsidR="00923455">
        <w:t>has resulted in a saving of approx. £12k per annum.</w:t>
      </w:r>
    </w:p>
    <w:p w14:paraId="18BE96E7" w14:textId="5EB4EFA7" w:rsidR="00923455" w:rsidRDefault="00923455" w:rsidP="00923455">
      <w:pPr>
        <w:ind w:left="720"/>
      </w:pPr>
    </w:p>
    <w:p w14:paraId="5E5AC15E" w14:textId="50132C15" w:rsidR="008B58AB" w:rsidRPr="008B58AB" w:rsidRDefault="008B58AB" w:rsidP="00923455">
      <w:pPr>
        <w:ind w:left="720"/>
        <w:rPr>
          <w:b/>
        </w:rPr>
      </w:pPr>
      <w:r w:rsidRPr="008B58AB">
        <w:rPr>
          <w:b/>
        </w:rPr>
        <w:t>Brought Forward</w:t>
      </w:r>
    </w:p>
    <w:p w14:paraId="0A8F0417" w14:textId="2DA07ADF" w:rsidR="008B58AB" w:rsidRDefault="0025648D" w:rsidP="00923455">
      <w:pPr>
        <w:ind w:left="720"/>
      </w:pPr>
      <w:r>
        <w:t xml:space="preserve">Obtaining approval from the Funding Council to allocate funds from the Very High Priority Maintenance fund for ICT infrastructure projects has allowed us to bring forward some of projects outlined for 2023/24 into this year. As a </w:t>
      </w:r>
      <w:r w:rsidR="00311EE5">
        <w:t>result,</w:t>
      </w:r>
      <w:r>
        <w:t xml:space="preserve"> we have accomplished the following from next year’s plan:</w:t>
      </w:r>
    </w:p>
    <w:p w14:paraId="18AE7A4E" w14:textId="48281D8B" w:rsidR="0025648D" w:rsidRDefault="0025648D" w:rsidP="00923455">
      <w:pPr>
        <w:ind w:left="720"/>
      </w:pPr>
    </w:p>
    <w:p w14:paraId="46022B59" w14:textId="5C45C49B" w:rsidR="00311EE5" w:rsidRPr="00311EE5" w:rsidRDefault="00311EE5" w:rsidP="00923455">
      <w:pPr>
        <w:ind w:left="720"/>
        <w:rPr>
          <w:b/>
        </w:rPr>
      </w:pPr>
      <w:r w:rsidRPr="00311EE5">
        <w:rPr>
          <w:b/>
        </w:rPr>
        <w:t>Upgrade the network infrastructure.</w:t>
      </w:r>
    </w:p>
    <w:p w14:paraId="4F05EEDE" w14:textId="34761868" w:rsidR="00F948DE" w:rsidRPr="006F4C76" w:rsidRDefault="00F948DE" w:rsidP="0025648D">
      <w:pPr>
        <w:pStyle w:val="ListParagraph"/>
        <w:rPr>
          <w:sz w:val="24"/>
          <w:szCs w:val="24"/>
          <w:u w:val="single"/>
        </w:rPr>
      </w:pPr>
      <w:r w:rsidRPr="006F4C76">
        <w:rPr>
          <w:sz w:val="24"/>
          <w:szCs w:val="24"/>
          <w:u w:val="single"/>
        </w:rPr>
        <w:t>Upgrade the LAN core switch at the Motherwell campus</w:t>
      </w:r>
      <w:r w:rsidR="00BC7BDB" w:rsidRPr="006F4C76">
        <w:rPr>
          <w:sz w:val="24"/>
          <w:szCs w:val="24"/>
          <w:u w:val="single"/>
        </w:rPr>
        <w:t>:</w:t>
      </w:r>
    </w:p>
    <w:p w14:paraId="241848DF" w14:textId="7E8C98A0" w:rsidR="006C47CD" w:rsidRDefault="0025648D" w:rsidP="00B978E6">
      <w:pPr>
        <w:pStyle w:val="ListParagraph"/>
        <w:rPr>
          <w:sz w:val="24"/>
          <w:szCs w:val="24"/>
        </w:rPr>
      </w:pPr>
      <w:r>
        <w:rPr>
          <w:sz w:val="24"/>
          <w:szCs w:val="24"/>
        </w:rPr>
        <w:t>As previously reported t</w:t>
      </w:r>
      <w:r w:rsidR="00BC7BDB">
        <w:rPr>
          <w:sz w:val="24"/>
          <w:szCs w:val="24"/>
        </w:rPr>
        <w:t xml:space="preserve">he contract for </w:t>
      </w:r>
      <w:r>
        <w:rPr>
          <w:sz w:val="24"/>
          <w:szCs w:val="24"/>
        </w:rPr>
        <w:t xml:space="preserve">the replacement of the Motherwell campus core network switch </w:t>
      </w:r>
      <w:r w:rsidR="00BC7BDB">
        <w:rPr>
          <w:sz w:val="24"/>
          <w:szCs w:val="24"/>
        </w:rPr>
        <w:t xml:space="preserve">was awarded to Stone </w:t>
      </w:r>
      <w:r w:rsidR="00075130">
        <w:rPr>
          <w:sz w:val="24"/>
          <w:szCs w:val="24"/>
        </w:rPr>
        <w:t xml:space="preserve">Technologies Ltd. </w:t>
      </w:r>
      <w:r w:rsidR="00BC7BDB">
        <w:rPr>
          <w:sz w:val="24"/>
          <w:szCs w:val="24"/>
        </w:rPr>
        <w:t>on 27</w:t>
      </w:r>
      <w:r w:rsidR="00BC7BDB" w:rsidRPr="00BC7BDB">
        <w:rPr>
          <w:sz w:val="24"/>
          <w:szCs w:val="24"/>
          <w:vertAlign w:val="superscript"/>
        </w:rPr>
        <w:t>th</w:t>
      </w:r>
      <w:r w:rsidR="00BC7BDB">
        <w:rPr>
          <w:sz w:val="24"/>
          <w:szCs w:val="24"/>
        </w:rPr>
        <w:t xml:space="preserve"> January at a total value of £149,784 (exc</w:t>
      </w:r>
      <w:r>
        <w:rPr>
          <w:sz w:val="24"/>
          <w:szCs w:val="24"/>
        </w:rPr>
        <w:t>.</w:t>
      </w:r>
      <w:r w:rsidR="00BC7BDB">
        <w:rPr>
          <w:sz w:val="24"/>
          <w:szCs w:val="24"/>
        </w:rPr>
        <w:t xml:space="preserve"> VAT). </w:t>
      </w:r>
      <w:r>
        <w:rPr>
          <w:sz w:val="24"/>
          <w:szCs w:val="24"/>
        </w:rPr>
        <w:t>The new switch will be installed at the beginning of July and will allow us to r</w:t>
      </w:r>
      <w:bookmarkStart w:id="0" w:name="_GoBack"/>
      <w:bookmarkEnd w:id="0"/>
      <w:r>
        <w:rPr>
          <w:sz w:val="24"/>
          <w:szCs w:val="24"/>
        </w:rPr>
        <w:t xml:space="preserve">etender for the inter-campus connections between Motherwell and the Coatbridge and Cumbernauld campuses. This will help to improve the performance of the network while simultaneously reducing costs.  </w:t>
      </w:r>
    </w:p>
    <w:p w14:paraId="246936BD" w14:textId="0304194D" w:rsidR="00F34E54" w:rsidRPr="00923455" w:rsidRDefault="006C47CD" w:rsidP="00923455">
      <w:pPr>
        <w:pStyle w:val="ListParagraph"/>
        <w:rPr>
          <w:sz w:val="24"/>
          <w:szCs w:val="24"/>
        </w:rPr>
      </w:pPr>
      <w:r>
        <w:rPr>
          <w:sz w:val="24"/>
          <w:szCs w:val="24"/>
        </w:rPr>
        <w:t xml:space="preserve"> </w:t>
      </w:r>
    </w:p>
    <w:p w14:paraId="1FD08AE4" w14:textId="29B636EF" w:rsidR="00F948DE" w:rsidRPr="006F4C76" w:rsidRDefault="00F948DE" w:rsidP="004C3A68">
      <w:pPr>
        <w:pStyle w:val="ListParagraph"/>
        <w:spacing w:after="0" w:line="240" w:lineRule="auto"/>
        <w:rPr>
          <w:rFonts w:ascii="Calibri" w:eastAsia="Times New Roman" w:hAnsi="Calibri" w:cs="Calibri"/>
          <w:color w:val="000000"/>
          <w:sz w:val="24"/>
          <w:szCs w:val="24"/>
          <w:u w:val="single"/>
          <w:lang w:eastAsia="en-GB"/>
        </w:rPr>
      </w:pPr>
      <w:r w:rsidRPr="006F4C76">
        <w:rPr>
          <w:rFonts w:ascii="Calibri" w:eastAsia="Times New Roman" w:hAnsi="Calibri" w:cs="Calibri"/>
          <w:color w:val="000000"/>
          <w:sz w:val="24"/>
          <w:szCs w:val="24"/>
          <w:u w:val="single"/>
          <w:lang w:eastAsia="en-GB"/>
        </w:rPr>
        <w:t>Replace the unmanaged network switches at the Cumbernauld and Kirkintilloch campuses with 10 x PoE (Power over Ethernet) Managed Network Switches</w:t>
      </w:r>
      <w:r w:rsidR="00311EE5" w:rsidRPr="006F4C76">
        <w:rPr>
          <w:rFonts w:ascii="Calibri" w:eastAsia="Times New Roman" w:hAnsi="Calibri" w:cs="Calibri"/>
          <w:color w:val="000000"/>
          <w:sz w:val="24"/>
          <w:szCs w:val="24"/>
          <w:u w:val="single"/>
          <w:lang w:eastAsia="en-GB"/>
        </w:rPr>
        <w:t>.</w:t>
      </w:r>
    </w:p>
    <w:p w14:paraId="6FC09364" w14:textId="77777777" w:rsidR="000A29EB" w:rsidRDefault="00311EE5" w:rsidP="00075130">
      <w:pPr>
        <w:pStyle w:val="ListParagraph"/>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This project will be completed by the 31</w:t>
      </w:r>
      <w:r w:rsidRPr="00311EE5">
        <w:rPr>
          <w:rFonts w:ascii="Calibri" w:eastAsia="Times New Roman" w:hAnsi="Calibri" w:cs="Calibri"/>
          <w:color w:val="000000"/>
          <w:sz w:val="24"/>
          <w:szCs w:val="24"/>
          <w:vertAlign w:val="superscript"/>
          <w:lang w:eastAsia="en-GB"/>
        </w:rPr>
        <w:t>st</w:t>
      </w:r>
      <w:r>
        <w:rPr>
          <w:rFonts w:ascii="Calibri" w:eastAsia="Times New Roman" w:hAnsi="Calibri" w:cs="Calibri"/>
          <w:color w:val="000000"/>
          <w:sz w:val="24"/>
          <w:szCs w:val="24"/>
          <w:lang w:eastAsia="en-GB"/>
        </w:rPr>
        <w:t xml:space="preserve"> July, at a total cost of £90,326, and will provide the connectivity required to support the increased number of wireless network access points resulting from the upgrade of the Wi-Fi network infrastructure.</w:t>
      </w:r>
    </w:p>
    <w:p w14:paraId="0C917DC0" w14:textId="00B31C74" w:rsidR="000A29EB" w:rsidRDefault="00311EE5" w:rsidP="00075130">
      <w:pPr>
        <w:pStyle w:val="ListParagraph"/>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p>
    <w:p w14:paraId="725746C9" w14:textId="77777777" w:rsidR="000A29EB" w:rsidRDefault="000A29EB">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61E3F176" w14:textId="77777777" w:rsidR="00075130" w:rsidRDefault="00075130" w:rsidP="00075130">
      <w:pPr>
        <w:pStyle w:val="ListParagraph"/>
        <w:spacing w:after="0" w:line="240" w:lineRule="auto"/>
        <w:rPr>
          <w:rFonts w:ascii="Calibri" w:eastAsia="Times New Roman" w:hAnsi="Calibri" w:cs="Calibri"/>
          <w:color w:val="000000"/>
          <w:sz w:val="24"/>
          <w:szCs w:val="24"/>
          <w:lang w:eastAsia="en-GB"/>
        </w:rPr>
      </w:pPr>
    </w:p>
    <w:p w14:paraId="0C50CA5B" w14:textId="22D91235" w:rsidR="002B5B2A" w:rsidRPr="000A29EB" w:rsidRDefault="000A29EB" w:rsidP="00075130">
      <w:pPr>
        <w:pStyle w:val="ListParagraph"/>
        <w:spacing w:after="0" w:line="240" w:lineRule="auto"/>
        <w:rPr>
          <w:rFonts w:ascii="Calibri" w:eastAsia="Times New Roman" w:hAnsi="Calibri" w:cs="Calibri"/>
          <w:b/>
          <w:color w:val="000000"/>
          <w:sz w:val="24"/>
          <w:szCs w:val="24"/>
          <w:lang w:eastAsia="en-GB"/>
        </w:rPr>
      </w:pPr>
      <w:r w:rsidRPr="000A29EB">
        <w:rPr>
          <w:rFonts w:ascii="Calibri" w:eastAsia="Times New Roman" w:hAnsi="Calibri" w:cs="Calibri"/>
          <w:b/>
          <w:color w:val="000000"/>
          <w:sz w:val="24"/>
          <w:szCs w:val="24"/>
          <w:lang w:eastAsia="en-GB"/>
        </w:rPr>
        <w:t>Summary of Expenditure 2022/23</w:t>
      </w:r>
    </w:p>
    <w:tbl>
      <w:tblPr>
        <w:tblStyle w:val="TableGrid"/>
        <w:tblW w:w="0" w:type="auto"/>
        <w:tblInd w:w="720" w:type="dxa"/>
        <w:tblLook w:val="04A0" w:firstRow="1" w:lastRow="0" w:firstColumn="1" w:lastColumn="0" w:noHBand="0" w:noVBand="1"/>
      </w:tblPr>
      <w:tblGrid>
        <w:gridCol w:w="4150"/>
        <w:gridCol w:w="2638"/>
      </w:tblGrid>
      <w:tr w:rsidR="000A29EB" w14:paraId="4BD9B54A" w14:textId="77777777" w:rsidTr="000A29EB">
        <w:tc>
          <w:tcPr>
            <w:tcW w:w="4150" w:type="dxa"/>
          </w:tcPr>
          <w:p w14:paraId="6F5A9E90" w14:textId="56822F4D" w:rsidR="000A29EB" w:rsidRPr="000A29EB" w:rsidRDefault="000A29EB" w:rsidP="00075130">
            <w:pPr>
              <w:pStyle w:val="ListParagraph"/>
              <w:spacing w:after="0" w:line="240" w:lineRule="auto"/>
              <w:ind w:left="0"/>
              <w:rPr>
                <w:rFonts w:ascii="Calibri" w:eastAsia="Times New Roman" w:hAnsi="Calibri" w:cs="Calibri"/>
                <w:b/>
                <w:color w:val="000000"/>
                <w:sz w:val="24"/>
                <w:szCs w:val="24"/>
                <w:lang w:eastAsia="en-GB"/>
              </w:rPr>
            </w:pPr>
            <w:r w:rsidRPr="000A29EB">
              <w:rPr>
                <w:rFonts w:ascii="Calibri" w:eastAsia="Times New Roman" w:hAnsi="Calibri" w:cs="Calibri"/>
                <w:b/>
                <w:color w:val="000000"/>
                <w:sz w:val="24"/>
                <w:szCs w:val="24"/>
                <w:lang w:eastAsia="en-GB"/>
              </w:rPr>
              <w:t>Project</w:t>
            </w:r>
          </w:p>
        </w:tc>
        <w:tc>
          <w:tcPr>
            <w:tcW w:w="2638" w:type="dxa"/>
          </w:tcPr>
          <w:p w14:paraId="0281E278" w14:textId="79A24ADE" w:rsidR="000A29EB" w:rsidRPr="000A29EB" w:rsidRDefault="000A29EB" w:rsidP="00075130">
            <w:pPr>
              <w:pStyle w:val="ListParagraph"/>
              <w:spacing w:after="0" w:line="240" w:lineRule="auto"/>
              <w:ind w:left="0"/>
              <w:rPr>
                <w:rFonts w:ascii="Calibri" w:eastAsia="Times New Roman" w:hAnsi="Calibri" w:cs="Calibri"/>
                <w:b/>
                <w:color w:val="000000"/>
                <w:sz w:val="24"/>
                <w:szCs w:val="24"/>
                <w:lang w:eastAsia="en-GB"/>
              </w:rPr>
            </w:pPr>
            <w:r w:rsidRPr="000A29EB">
              <w:rPr>
                <w:rFonts w:ascii="Calibri" w:eastAsia="Times New Roman" w:hAnsi="Calibri" w:cs="Calibri"/>
                <w:b/>
                <w:color w:val="000000"/>
                <w:sz w:val="24"/>
                <w:szCs w:val="24"/>
                <w:lang w:eastAsia="en-GB"/>
              </w:rPr>
              <w:t>Total Costs</w:t>
            </w:r>
          </w:p>
        </w:tc>
      </w:tr>
      <w:tr w:rsidR="000A29EB" w14:paraId="2519FBB8" w14:textId="77777777" w:rsidTr="000A29EB">
        <w:tc>
          <w:tcPr>
            <w:tcW w:w="4150" w:type="dxa"/>
          </w:tcPr>
          <w:p w14:paraId="7A0CAB5A" w14:textId="32E1BF77"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Laptops</w:t>
            </w:r>
          </w:p>
        </w:tc>
        <w:tc>
          <w:tcPr>
            <w:tcW w:w="2638" w:type="dxa"/>
          </w:tcPr>
          <w:p w14:paraId="531699E0" w14:textId="31996770"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£187,000</w:t>
            </w:r>
          </w:p>
        </w:tc>
      </w:tr>
      <w:tr w:rsidR="000A29EB" w14:paraId="5B4C6895" w14:textId="77777777" w:rsidTr="000A29EB">
        <w:tc>
          <w:tcPr>
            <w:tcW w:w="4150" w:type="dxa"/>
          </w:tcPr>
          <w:p w14:paraId="70DA9769" w14:textId="6EF064B6"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Wi-Fi Network</w:t>
            </w:r>
          </w:p>
        </w:tc>
        <w:tc>
          <w:tcPr>
            <w:tcW w:w="2638" w:type="dxa"/>
          </w:tcPr>
          <w:p w14:paraId="0CEF819F" w14:textId="454106BF"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£263,346</w:t>
            </w:r>
          </w:p>
        </w:tc>
      </w:tr>
      <w:tr w:rsidR="000A29EB" w14:paraId="068C048E" w14:textId="77777777" w:rsidTr="000A29EB">
        <w:tc>
          <w:tcPr>
            <w:tcW w:w="4150" w:type="dxa"/>
          </w:tcPr>
          <w:p w14:paraId="1D550255" w14:textId="67407C8B"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A/V Display Screens</w:t>
            </w:r>
          </w:p>
        </w:tc>
        <w:tc>
          <w:tcPr>
            <w:tcW w:w="2638" w:type="dxa"/>
          </w:tcPr>
          <w:p w14:paraId="6147476D" w14:textId="76D878B5"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£185,000</w:t>
            </w:r>
          </w:p>
        </w:tc>
      </w:tr>
      <w:tr w:rsidR="000A29EB" w14:paraId="3A1EEB29" w14:textId="77777777" w:rsidTr="000A29EB">
        <w:tc>
          <w:tcPr>
            <w:tcW w:w="4150" w:type="dxa"/>
          </w:tcPr>
          <w:p w14:paraId="44977AE7" w14:textId="7ABF95BC"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Clevertouch Inter-active Displays</w:t>
            </w:r>
          </w:p>
        </w:tc>
        <w:tc>
          <w:tcPr>
            <w:tcW w:w="2638" w:type="dxa"/>
          </w:tcPr>
          <w:p w14:paraId="0252B60E" w14:textId="419EF1A9"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£31,985</w:t>
            </w:r>
          </w:p>
        </w:tc>
      </w:tr>
      <w:tr w:rsidR="000A29EB" w14:paraId="0C83350F" w14:textId="77777777" w:rsidTr="000A29EB">
        <w:tc>
          <w:tcPr>
            <w:tcW w:w="4150" w:type="dxa"/>
          </w:tcPr>
          <w:p w14:paraId="3852226F" w14:textId="04F568F7"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Hybrid Teaching Rooms</w:t>
            </w:r>
          </w:p>
        </w:tc>
        <w:tc>
          <w:tcPr>
            <w:tcW w:w="2638" w:type="dxa"/>
          </w:tcPr>
          <w:p w14:paraId="41FFC707" w14:textId="7D0C5AD0"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£49,750</w:t>
            </w:r>
          </w:p>
        </w:tc>
      </w:tr>
      <w:tr w:rsidR="000A29EB" w14:paraId="528D4A55" w14:textId="77777777" w:rsidTr="000A29EB">
        <w:tc>
          <w:tcPr>
            <w:tcW w:w="4150" w:type="dxa"/>
          </w:tcPr>
          <w:p w14:paraId="4F3066F4" w14:textId="3642F64D"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Telephone Upgrade</w:t>
            </w:r>
          </w:p>
        </w:tc>
        <w:tc>
          <w:tcPr>
            <w:tcW w:w="2638" w:type="dxa"/>
          </w:tcPr>
          <w:p w14:paraId="0EEA6E11" w14:textId="103C9BC4"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£62,262</w:t>
            </w:r>
          </w:p>
        </w:tc>
      </w:tr>
      <w:tr w:rsidR="000A29EB" w14:paraId="5FC537D3" w14:textId="77777777" w:rsidTr="000A29EB">
        <w:tc>
          <w:tcPr>
            <w:tcW w:w="4150" w:type="dxa"/>
          </w:tcPr>
          <w:p w14:paraId="116975A6" w14:textId="2FC22D93"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proofErr w:type="spellStart"/>
            <w:r>
              <w:rPr>
                <w:rFonts w:ascii="Calibri" w:eastAsia="Times New Roman" w:hAnsi="Calibri" w:cs="Calibri"/>
                <w:color w:val="000000"/>
                <w:sz w:val="24"/>
                <w:szCs w:val="24"/>
                <w:lang w:eastAsia="en-GB"/>
              </w:rPr>
              <w:t>M’well</w:t>
            </w:r>
            <w:proofErr w:type="spellEnd"/>
            <w:r>
              <w:rPr>
                <w:rFonts w:ascii="Calibri" w:eastAsia="Times New Roman" w:hAnsi="Calibri" w:cs="Calibri"/>
                <w:color w:val="000000"/>
                <w:sz w:val="24"/>
                <w:szCs w:val="24"/>
                <w:lang w:eastAsia="en-GB"/>
              </w:rPr>
              <w:t xml:space="preserve"> Network Core</w:t>
            </w:r>
          </w:p>
        </w:tc>
        <w:tc>
          <w:tcPr>
            <w:tcW w:w="2638" w:type="dxa"/>
          </w:tcPr>
          <w:p w14:paraId="15D321D2" w14:textId="489F5730"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£149,784</w:t>
            </w:r>
          </w:p>
        </w:tc>
      </w:tr>
      <w:tr w:rsidR="000A29EB" w14:paraId="1D572030" w14:textId="77777777" w:rsidTr="000A29EB">
        <w:tc>
          <w:tcPr>
            <w:tcW w:w="4150" w:type="dxa"/>
          </w:tcPr>
          <w:p w14:paraId="2BFB7EE2" w14:textId="59DD6D88"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PoE Edge Switches</w:t>
            </w:r>
          </w:p>
        </w:tc>
        <w:tc>
          <w:tcPr>
            <w:tcW w:w="2638" w:type="dxa"/>
          </w:tcPr>
          <w:p w14:paraId="6A3F66C9" w14:textId="69E54F47" w:rsidR="000A29EB" w:rsidRDefault="000A29EB" w:rsidP="00075130">
            <w:pPr>
              <w:pStyle w:val="ListParagraph"/>
              <w:spacing w:after="0" w:line="240" w:lineRule="auto"/>
              <w:ind w:left="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£90,326</w:t>
            </w:r>
          </w:p>
        </w:tc>
      </w:tr>
      <w:tr w:rsidR="000A29EB" w14:paraId="345863C9" w14:textId="77777777" w:rsidTr="000A29EB">
        <w:tc>
          <w:tcPr>
            <w:tcW w:w="4150" w:type="dxa"/>
          </w:tcPr>
          <w:p w14:paraId="1E51BC57" w14:textId="0304FEE0" w:rsidR="000A29EB" w:rsidRPr="000A29EB" w:rsidRDefault="000A29EB" w:rsidP="00075130">
            <w:pPr>
              <w:pStyle w:val="ListParagraph"/>
              <w:spacing w:after="0" w:line="240" w:lineRule="auto"/>
              <w:ind w:left="0"/>
              <w:rPr>
                <w:rFonts w:ascii="Calibri" w:eastAsia="Times New Roman" w:hAnsi="Calibri" w:cs="Calibri"/>
                <w:b/>
                <w:color w:val="000000"/>
                <w:sz w:val="24"/>
                <w:szCs w:val="24"/>
                <w:lang w:eastAsia="en-GB"/>
              </w:rPr>
            </w:pPr>
            <w:r w:rsidRPr="000A29EB">
              <w:rPr>
                <w:rFonts w:ascii="Calibri" w:eastAsia="Times New Roman" w:hAnsi="Calibri" w:cs="Calibri"/>
                <w:b/>
                <w:color w:val="000000"/>
                <w:sz w:val="24"/>
                <w:szCs w:val="24"/>
                <w:lang w:eastAsia="en-GB"/>
              </w:rPr>
              <w:t>Total</w:t>
            </w:r>
          </w:p>
        </w:tc>
        <w:tc>
          <w:tcPr>
            <w:tcW w:w="2638" w:type="dxa"/>
          </w:tcPr>
          <w:p w14:paraId="40B329D3" w14:textId="2002E2BB" w:rsidR="000A29EB" w:rsidRPr="000A29EB" w:rsidRDefault="000A29EB" w:rsidP="00075130">
            <w:pPr>
              <w:pStyle w:val="ListParagraph"/>
              <w:spacing w:after="0" w:line="240" w:lineRule="auto"/>
              <w:ind w:left="0"/>
              <w:rPr>
                <w:rFonts w:ascii="Calibri" w:eastAsia="Times New Roman" w:hAnsi="Calibri" w:cs="Calibri"/>
                <w:b/>
                <w:color w:val="000000"/>
                <w:sz w:val="24"/>
                <w:szCs w:val="24"/>
                <w:lang w:eastAsia="en-GB"/>
              </w:rPr>
            </w:pPr>
            <w:r w:rsidRPr="000A29EB">
              <w:rPr>
                <w:rFonts w:ascii="Calibri" w:eastAsia="Times New Roman" w:hAnsi="Calibri" w:cs="Calibri"/>
                <w:b/>
                <w:color w:val="000000"/>
                <w:sz w:val="24"/>
                <w:szCs w:val="24"/>
                <w:lang w:eastAsia="en-GB"/>
              </w:rPr>
              <w:t>£1,019,453</w:t>
            </w:r>
          </w:p>
        </w:tc>
      </w:tr>
    </w:tbl>
    <w:p w14:paraId="7C9C4787" w14:textId="127102CD" w:rsidR="000A29EB" w:rsidRDefault="000A29EB" w:rsidP="00075130">
      <w:pPr>
        <w:pStyle w:val="ListParagraph"/>
        <w:spacing w:after="0" w:line="240" w:lineRule="auto"/>
        <w:rPr>
          <w:rFonts w:ascii="Calibri" w:eastAsia="Times New Roman" w:hAnsi="Calibri" w:cs="Calibri"/>
          <w:color w:val="000000"/>
          <w:sz w:val="24"/>
          <w:szCs w:val="24"/>
          <w:lang w:eastAsia="en-GB"/>
        </w:rPr>
      </w:pPr>
    </w:p>
    <w:p w14:paraId="14853696" w14:textId="77777777" w:rsidR="000A29EB" w:rsidRDefault="000A29EB" w:rsidP="00075130">
      <w:pPr>
        <w:pStyle w:val="ListParagraph"/>
        <w:spacing w:after="0" w:line="240" w:lineRule="auto"/>
        <w:rPr>
          <w:rFonts w:ascii="Calibri" w:eastAsia="Times New Roman" w:hAnsi="Calibri" w:cs="Calibri"/>
          <w:color w:val="000000"/>
          <w:sz w:val="24"/>
          <w:szCs w:val="24"/>
          <w:lang w:eastAsia="en-GB"/>
        </w:rPr>
      </w:pPr>
    </w:p>
    <w:p w14:paraId="3EAB953B" w14:textId="11D5A9EE" w:rsidR="00CE54AE" w:rsidRDefault="008B58AB" w:rsidP="004C3A68">
      <w:pPr>
        <w:pStyle w:val="ListParagraph"/>
        <w:numPr>
          <w:ilvl w:val="0"/>
          <w:numId w:val="3"/>
        </w:numPr>
        <w:rPr>
          <w:b/>
          <w:sz w:val="24"/>
          <w:szCs w:val="24"/>
        </w:rPr>
      </w:pPr>
      <w:r w:rsidRPr="008B58AB">
        <w:rPr>
          <w:b/>
          <w:sz w:val="24"/>
          <w:szCs w:val="24"/>
        </w:rPr>
        <w:t>Priorities for 2023/24</w:t>
      </w:r>
    </w:p>
    <w:p w14:paraId="4CE4BFF0" w14:textId="32D38214" w:rsidR="00EB1B77" w:rsidRDefault="00EB1B77" w:rsidP="00FA6387">
      <w:pPr>
        <w:pStyle w:val="ListParagraph"/>
        <w:rPr>
          <w:sz w:val="24"/>
          <w:szCs w:val="24"/>
        </w:rPr>
      </w:pPr>
      <w:r>
        <w:rPr>
          <w:sz w:val="24"/>
          <w:szCs w:val="24"/>
        </w:rPr>
        <w:t xml:space="preserve">Continuing with the priorities outlined in the ICT strategic plan the </w:t>
      </w:r>
      <w:r w:rsidR="00CA4342">
        <w:rPr>
          <w:sz w:val="24"/>
          <w:szCs w:val="24"/>
        </w:rPr>
        <w:t xml:space="preserve">proposed </w:t>
      </w:r>
      <w:r>
        <w:rPr>
          <w:sz w:val="24"/>
          <w:szCs w:val="24"/>
        </w:rPr>
        <w:t>p</w:t>
      </w:r>
      <w:r w:rsidR="00E21AE4">
        <w:rPr>
          <w:sz w:val="24"/>
          <w:szCs w:val="24"/>
        </w:rPr>
        <w:t>rojects for 2023/24 are as follows:</w:t>
      </w:r>
    </w:p>
    <w:p w14:paraId="48848A23" w14:textId="13B0D97D" w:rsidR="008B58AB" w:rsidRPr="00AA2A03" w:rsidRDefault="008B58AB" w:rsidP="00FA6387">
      <w:pPr>
        <w:ind w:left="709"/>
        <w:contextualSpacing/>
        <w:rPr>
          <w:b/>
        </w:rPr>
      </w:pPr>
      <w:r w:rsidRPr="00AA2A03">
        <w:rPr>
          <w:b/>
        </w:rPr>
        <w:t xml:space="preserve">Continue with annual Desktop &amp; Laptop refresh cycle (working towards 5 - </w:t>
      </w:r>
      <w:proofErr w:type="gramStart"/>
      <w:r w:rsidRPr="00AA2A03">
        <w:rPr>
          <w:b/>
        </w:rPr>
        <w:t>6 year</w:t>
      </w:r>
      <w:proofErr w:type="gramEnd"/>
      <w:r w:rsidRPr="00AA2A03">
        <w:rPr>
          <w:b/>
        </w:rPr>
        <w:t xml:space="preserve"> replacement lifecycle)</w:t>
      </w:r>
      <w:r w:rsidR="00AA2A03">
        <w:rPr>
          <w:b/>
        </w:rPr>
        <w:t>.</w:t>
      </w:r>
    </w:p>
    <w:p w14:paraId="3A48BE14" w14:textId="6F27728A" w:rsidR="00AA2A03" w:rsidRDefault="00AA2A03" w:rsidP="00FA6387">
      <w:pPr>
        <w:ind w:left="709"/>
        <w:contextualSpacing/>
      </w:pPr>
      <w:r>
        <w:t>Provision of £118k has been made in the annual ICT budget (pending approval) to continue the Desktop &amp; Laptop refresh.</w:t>
      </w:r>
      <w:r w:rsidR="00CA4342">
        <w:t xml:space="preserve"> This will provide for </w:t>
      </w:r>
      <w:r w:rsidR="005B55C4">
        <w:t xml:space="preserve">a further 200 laptops </w:t>
      </w:r>
      <w:r w:rsidR="00CA4342">
        <w:t>approximately</w:t>
      </w:r>
      <w:r w:rsidR="005B55C4">
        <w:t>.</w:t>
      </w:r>
      <w:r w:rsidR="00CA4342">
        <w:t xml:space="preserve"> </w:t>
      </w:r>
    </w:p>
    <w:p w14:paraId="7FD8D64C" w14:textId="02944A2F" w:rsidR="00AA2A03" w:rsidRPr="00AA2A03" w:rsidRDefault="00AA2A03" w:rsidP="00AA2A03">
      <w:pPr>
        <w:ind w:left="709"/>
      </w:pPr>
    </w:p>
    <w:p w14:paraId="1FB445A5" w14:textId="4A6AD70C" w:rsidR="008B58AB" w:rsidRPr="00E21AE4" w:rsidRDefault="008B58AB" w:rsidP="00AA2A03">
      <w:pPr>
        <w:ind w:left="709"/>
        <w:rPr>
          <w:b/>
        </w:rPr>
      </w:pPr>
      <w:r w:rsidRPr="00E21AE4">
        <w:rPr>
          <w:b/>
        </w:rPr>
        <w:t>Continue Classroom A/V refresh/upgrade programme.</w:t>
      </w:r>
    </w:p>
    <w:p w14:paraId="7FC8D427" w14:textId="1519F61B" w:rsidR="00AA2A03" w:rsidRDefault="005B55C4" w:rsidP="00AA2A03">
      <w:pPr>
        <w:ind w:left="709"/>
      </w:pPr>
      <w:r>
        <w:t xml:space="preserve">We </w:t>
      </w:r>
      <w:r w:rsidR="00C67CB5">
        <w:t xml:space="preserve">propose to </w:t>
      </w:r>
      <w:r w:rsidR="00FA6387">
        <w:t>continue with the three-year refresh programme by replacing a further 60 classroom display panels, across all campuses, with Clevertouch interactive screens. The estimated cost for this is £259,380 which will be met from the Capital Funding Maintenance budget</w:t>
      </w:r>
      <w:r w:rsidR="00F075C6">
        <w:t xml:space="preserve"> for 2023/24</w:t>
      </w:r>
      <w:r w:rsidR="00FA6387">
        <w:t>.</w:t>
      </w:r>
    </w:p>
    <w:p w14:paraId="6CC21535" w14:textId="77777777" w:rsidR="00E21AE4" w:rsidRPr="00AA2A03" w:rsidRDefault="00E21AE4" w:rsidP="00AA2A03">
      <w:pPr>
        <w:ind w:left="709"/>
      </w:pPr>
    </w:p>
    <w:p w14:paraId="61E0981E" w14:textId="2037171B" w:rsidR="008B58AB" w:rsidRPr="00E21AE4" w:rsidRDefault="008B58AB" w:rsidP="00AA2A03">
      <w:pPr>
        <w:ind w:left="709"/>
        <w:rPr>
          <w:b/>
        </w:rPr>
      </w:pPr>
      <w:r w:rsidRPr="00E21AE4">
        <w:rPr>
          <w:b/>
        </w:rPr>
        <w:t>Upgrade the in-house server, storage &amp; backup infrastructure.</w:t>
      </w:r>
    </w:p>
    <w:p w14:paraId="1867F9B0" w14:textId="60F315A8" w:rsidR="005B55C4" w:rsidRDefault="00C67CB5" w:rsidP="00AA2A03">
      <w:pPr>
        <w:ind w:left="709"/>
      </w:pPr>
      <w:r>
        <w:t xml:space="preserve">The college server, storage and backup infrastructure </w:t>
      </w:r>
      <w:proofErr w:type="gramStart"/>
      <w:r>
        <w:t>is</w:t>
      </w:r>
      <w:proofErr w:type="gramEnd"/>
      <w:r>
        <w:t xml:space="preserve"> </w:t>
      </w:r>
      <w:r w:rsidR="009D23D1">
        <w:t>a</w:t>
      </w:r>
      <w:r w:rsidR="00AC3AC8">
        <w:t xml:space="preserve">pproximately 10 years old. The hardware is End of Life and End of Support and is </w:t>
      </w:r>
      <w:r w:rsidR="00F075C6">
        <w:t xml:space="preserve">also </w:t>
      </w:r>
      <w:r w:rsidR="00AC3AC8">
        <w:t>no longer supported by 3</w:t>
      </w:r>
      <w:r w:rsidR="00AC3AC8" w:rsidRPr="00AC3AC8">
        <w:rPr>
          <w:vertAlign w:val="superscript"/>
        </w:rPr>
        <w:t>rd</w:t>
      </w:r>
      <w:r w:rsidR="00AC3AC8">
        <w:t xml:space="preserve"> party software suppliers such as VMware. This is preventing us from upgrading to the latest </w:t>
      </w:r>
      <w:r w:rsidR="00F075C6">
        <w:t xml:space="preserve">software </w:t>
      </w:r>
      <w:r w:rsidR="00AC3AC8">
        <w:t xml:space="preserve">versions and will threaten our ability to achieve Cyber Essentials certification within the next 18 months to 2 years. </w:t>
      </w:r>
      <w:r w:rsidR="00F075C6">
        <w:t>Due to the age of the equipment w</w:t>
      </w:r>
      <w:r w:rsidR="00AC3AC8">
        <w:t xml:space="preserve">e are finding it increasingly difficult to find companies that are willing to offer hardware support contracts and this leaves us vulnerable to the risk of component failures. We are also exposed to risk in the event </w:t>
      </w:r>
      <w:r w:rsidR="000E455A">
        <w:t xml:space="preserve">of a ransomware </w:t>
      </w:r>
      <w:r w:rsidR="00F075C6">
        <w:t xml:space="preserve">cyber attack as our current backup system does not provide for immutable (off line) copies. Therefore, we propose to upgrade the infrastructure, at an estimated total cost of </w:t>
      </w:r>
      <w:r w:rsidR="005B55C4">
        <w:t>£425k</w:t>
      </w:r>
      <w:r w:rsidR="00F075C6">
        <w:t xml:space="preserve"> which will be met from the Capital Funding Maintenance budget for 2023/24.</w:t>
      </w:r>
    </w:p>
    <w:p w14:paraId="61B79A0C" w14:textId="6892B847" w:rsidR="00F075C6" w:rsidRDefault="00F075C6">
      <w:r>
        <w:br w:type="page"/>
      </w:r>
    </w:p>
    <w:p w14:paraId="5FB46B5C" w14:textId="77777777" w:rsidR="00E21AE4" w:rsidRPr="00AA2A03" w:rsidRDefault="00E21AE4" w:rsidP="00AA2A03">
      <w:pPr>
        <w:ind w:left="709"/>
      </w:pPr>
    </w:p>
    <w:p w14:paraId="00389430" w14:textId="77777777" w:rsidR="008B58AB" w:rsidRPr="00AA2A03" w:rsidRDefault="008B58AB" w:rsidP="00AA2A03">
      <w:pPr>
        <w:ind w:left="709"/>
        <w:rPr>
          <w:b/>
        </w:rPr>
      </w:pPr>
      <w:r w:rsidRPr="00AA2A03">
        <w:rPr>
          <w:b/>
        </w:rPr>
        <w:t>Upgrade the network infrastructure.</w:t>
      </w:r>
    </w:p>
    <w:p w14:paraId="6FBE1C7C" w14:textId="0915DFA0" w:rsidR="00295B82" w:rsidRDefault="00AA2A03" w:rsidP="00075130">
      <w:pPr>
        <w:pStyle w:val="ListParagraph"/>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As previously reported we were able to bring forward the replacement of the Motherwell core switch </w:t>
      </w:r>
      <w:r w:rsidR="00EB1B77">
        <w:rPr>
          <w:rFonts w:ascii="Calibri" w:eastAsia="Times New Roman" w:hAnsi="Calibri" w:cs="Calibri"/>
          <w:color w:val="000000"/>
          <w:sz w:val="24"/>
          <w:szCs w:val="24"/>
          <w:lang w:eastAsia="en-GB"/>
        </w:rPr>
        <w:t xml:space="preserve">and the upgrading of 18 network edge switches </w:t>
      </w:r>
      <w:r>
        <w:rPr>
          <w:rFonts w:ascii="Calibri" w:eastAsia="Times New Roman" w:hAnsi="Calibri" w:cs="Calibri"/>
          <w:color w:val="000000"/>
          <w:sz w:val="24"/>
          <w:szCs w:val="24"/>
          <w:lang w:eastAsia="en-GB"/>
        </w:rPr>
        <w:t>to 2022/23</w:t>
      </w:r>
      <w:r w:rsidR="00EB1B77">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The upgrading of the network core at Cumbernauld and Coatbridge</w:t>
      </w:r>
      <w:r w:rsidR="00EB1B77">
        <w:rPr>
          <w:rFonts w:ascii="Calibri" w:eastAsia="Times New Roman" w:hAnsi="Calibri" w:cs="Calibri"/>
          <w:color w:val="000000"/>
          <w:sz w:val="24"/>
          <w:szCs w:val="24"/>
          <w:lang w:eastAsia="en-GB"/>
        </w:rPr>
        <w:t xml:space="preserve"> will be rolled over to 2024/25 as other projects are of a higher priority. The estimated cost for th</w:t>
      </w:r>
      <w:r w:rsidR="00E21AE4">
        <w:rPr>
          <w:rFonts w:ascii="Calibri" w:eastAsia="Times New Roman" w:hAnsi="Calibri" w:cs="Calibri"/>
          <w:color w:val="000000"/>
          <w:sz w:val="24"/>
          <w:szCs w:val="24"/>
          <w:lang w:eastAsia="en-GB"/>
        </w:rPr>
        <w:t>e upgrade</w:t>
      </w:r>
      <w:r w:rsidR="00EB1B77">
        <w:rPr>
          <w:rFonts w:ascii="Calibri" w:eastAsia="Times New Roman" w:hAnsi="Calibri" w:cs="Calibri"/>
          <w:color w:val="000000"/>
          <w:sz w:val="24"/>
          <w:szCs w:val="24"/>
          <w:lang w:eastAsia="en-GB"/>
        </w:rPr>
        <w:t xml:space="preserve"> is £180k.</w:t>
      </w:r>
      <w:r>
        <w:rPr>
          <w:rFonts w:ascii="Calibri" w:eastAsia="Times New Roman" w:hAnsi="Calibri" w:cs="Calibri"/>
          <w:color w:val="000000"/>
          <w:sz w:val="24"/>
          <w:szCs w:val="24"/>
          <w:lang w:eastAsia="en-GB"/>
        </w:rPr>
        <w:t xml:space="preserve">  </w:t>
      </w:r>
    </w:p>
    <w:p w14:paraId="64E143C4" w14:textId="77777777" w:rsidR="00F34E54" w:rsidRDefault="00F34E54" w:rsidP="00075130">
      <w:pPr>
        <w:pStyle w:val="ListParagraph"/>
        <w:spacing w:after="0" w:line="240" w:lineRule="auto"/>
        <w:rPr>
          <w:rFonts w:ascii="Calibri" w:eastAsia="Times New Roman" w:hAnsi="Calibri" w:cs="Calibri"/>
          <w:color w:val="000000"/>
          <w:sz w:val="24"/>
          <w:szCs w:val="24"/>
          <w:lang w:eastAsia="en-GB"/>
        </w:rPr>
      </w:pPr>
    </w:p>
    <w:p w14:paraId="5065A9D1" w14:textId="6C09992F" w:rsidR="00CD4816" w:rsidRDefault="00CD4816" w:rsidP="00745FEB">
      <w:pPr>
        <w:pStyle w:val="ListParagraph"/>
        <w:numPr>
          <w:ilvl w:val="0"/>
          <w:numId w:val="3"/>
        </w:numPr>
        <w:rPr>
          <w:b/>
          <w:sz w:val="24"/>
          <w:szCs w:val="24"/>
        </w:rPr>
      </w:pPr>
      <w:r w:rsidRPr="00D724AC">
        <w:rPr>
          <w:b/>
          <w:sz w:val="24"/>
          <w:szCs w:val="24"/>
        </w:rPr>
        <w:t>Cyber Security</w:t>
      </w:r>
    </w:p>
    <w:p w14:paraId="474D6C88" w14:textId="3699B335" w:rsidR="00F34E54" w:rsidRPr="00E21AE4" w:rsidRDefault="00E21AE4" w:rsidP="00E21AE4">
      <w:pPr>
        <w:pStyle w:val="ListParagraph"/>
        <w:rPr>
          <w:sz w:val="24"/>
          <w:szCs w:val="24"/>
        </w:rPr>
      </w:pPr>
      <w:r>
        <w:rPr>
          <w:sz w:val="24"/>
          <w:szCs w:val="24"/>
        </w:rPr>
        <w:t>NCL successfully achieved Cyber Essentials certification on 3</w:t>
      </w:r>
      <w:r w:rsidRPr="00E21AE4">
        <w:rPr>
          <w:sz w:val="24"/>
          <w:szCs w:val="24"/>
          <w:vertAlign w:val="superscript"/>
        </w:rPr>
        <w:t>rd</w:t>
      </w:r>
      <w:r>
        <w:rPr>
          <w:sz w:val="24"/>
          <w:szCs w:val="24"/>
        </w:rPr>
        <w:t xml:space="preserve"> March. Cyber Essentials Plus certification was achieved a short time later on 31</w:t>
      </w:r>
      <w:r w:rsidRPr="00E21AE4">
        <w:rPr>
          <w:sz w:val="24"/>
          <w:szCs w:val="24"/>
          <w:vertAlign w:val="superscript"/>
        </w:rPr>
        <w:t>st</w:t>
      </w:r>
      <w:r>
        <w:rPr>
          <w:sz w:val="24"/>
          <w:szCs w:val="24"/>
        </w:rPr>
        <w:t xml:space="preserve"> March.</w:t>
      </w:r>
    </w:p>
    <w:p w14:paraId="15E93A39" w14:textId="77777777" w:rsidR="008945B2" w:rsidRDefault="008945B2" w:rsidP="00AE42A2">
      <w:pPr>
        <w:pStyle w:val="ListParagraph"/>
        <w:spacing w:line="257" w:lineRule="auto"/>
        <w:rPr>
          <w:sz w:val="24"/>
          <w:szCs w:val="24"/>
        </w:rPr>
      </w:pPr>
    </w:p>
    <w:p w14:paraId="2BB48A4F" w14:textId="69BB1134" w:rsidR="00AE42A2" w:rsidRDefault="008945B2" w:rsidP="00AE42A2">
      <w:pPr>
        <w:pStyle w:val="ListParagraph"/>
        <w:spacing w:line="257" w:lineRule="auto"/>
        <w:rPr>
          <w:sz w:val="24"/>
          <w:szCs w:val="24"/>
        </w:rPr>
      </w:pPr>
      <w:r>
        <w:rPr>
          <w:sz w:val="24"/>
          <w:szCs w:val="24"/>
        </w:rPr>
        <w:t xml:space="preserve"> </w:t>
      </w:r>
    </w:p>
    <w:p w14:paraId="488FEC54" w14:textId="4433EA57" w:rsidR="00783E47" w:rsidRDefault="00783E47" w:rsidP="00AE42A2">
      <w:pPr>
        <w:pStyle w:val="ListParagraph"/>
        <w:spacing w:line="257" w:lineRule="auto"/>
        <w:rPr>
          <w:sz w:val="24"/>
          <w:szCs w:val="24"/>
        </w:rPr>
      </w:pPr>
    </w:p>
    <w:p w14:paraId="16B1E273" w14:textId="77777777" w:rsidR="00783E47" w:rsidRPr="008945B2" w:rsidRDefault="00783E47" w:rsidP="00AE42A2">
      <w:pPr>
        <w:pStyle w:val="ListParagraph"/>
        <w:spacing w:line="257" w:lineRule="auto"/>
        <w:rPr>
          <w:sz w:val="24"/>
          <w:szCs w:val="24"/>
        </w:rPr>
      </w:pPr>
    </w:p>
    <w:p w14:paraId="6347E266" w14:textId="57C55219" w:rsidR="001A1A64" w:rsidRPr="008945B2" w:rsidRDefault="001A1A64" w:rsidP="001A1A64">
      <w:pPr>
        <w:pStyle w:val="ListParagraph"/>
        <w:rPr>
          <w:sz w:val="24"/>
          <w:szCs w:val="24"/>
        </w:rPr>
      </w:pPr>
    </w:p>
    <w:p w14:paraId="47EB6A44" w14:textId="1054D235" w:rsidR="001A1A64" w:rsidRPr="008945B2" w:rsidRDefault="001A1A64" w:rsidP="001A1A64">
      <w:pPr>
        <w:pStyle w:val="ListParagraph"/>
        <w:rPr>
          <w:sz w:val="24"/>
          <w:szCs w:val="24"/>
        </w:rPr>
      </w:pPr>
      <w:r w:rsidRPr="008945B2">
        <w:rPr>
          <w:sz w:val="24"/>
          <w:szCs w:val="24"/>
        </w:rPr>
        <w:t>John Morrison</w:t>
      </w:r>
    </w:p>
    <w:p w14:paraId="2110FD58" w14:textId="361FB8D4" w:rsidR="001A1A64" w:rsidRPr="008945B2" w:rsidRDefault="001A1A64" w:rsidP="001A1A64">
      <w:pPr>
        <w:pStyle w:val="ListParagraph"/>
        <w:rPr>
          <w:sz w:val="24"/>
          <w:szCs w:val="24"/>
        </w:rPr>
      </w:pPr>
      <w:r w:rsidRPr="008945B2">
        <w:rPr>
          <w:sz w:val="24"/>
          <w:szCs w:val="24"/>
        </w:rPr>
        <w:t>Head of ICT</w:t>
      </w:r>
    </w:p>
    <w:p w14:paraId="7A0268B1" w14:textId="260B979E" w:rsidR="001A1A64" w:rsidRDefault="00D601DF" w:rsidP="001A1A64">
      <w:pPr>
        <w:pStyle w:val="ListParagraph"/>
        <w:rPr>
          <w:sz w:val="24"/>
          <w:szCs w:val="24"/>
        </w:rPr>
      </w:pPr>
      <w:r>
        <w:rPr>
          <w:sz w:val="24"/>
          <w:szCs w:val="24"/>
        </w:rPr>
        <w:t>May</w:t>
      </w:r>
      <w:r w:rsidR="001A1A64" w:rsidRPr="008945B2">
        <w:rPr>
          <w:sz w:val="24"/>
          <w:szCs w:val="24"/>
        </w:rPr>
        <w:t xml:space="preserve"> 2023</w:t>
      </w:r>
    </w:p>
    <w:p w14:paraId="7D714D82" w14:textId="7EB776D3" w:rsidR="00076C89" w:rsidRDefault="00076C89" w:rsidP="001A1A64">
      <w:pPr>
        <w:pStyle w:val="ListParagraph"/>
        <w:rPr>
          <w:sz w:val="24"/>
          <w:szCs w:val="24"/>
        </w:rPr>
      </w:pPr>
    </w:p>
    <w:p w14:paraId="5F566D91" w14:textId="11B649B1" w:rsidR="00076C89" w:rsidRDefault="00076C89" w:rsidP="001A1A64">
      <w:pPr>
        <w:pStyle w:val="ListParagraph"/>
        <w:rPr>
          <w:sz w:val="24"/>
          <w:szCs w:val="24"/>
        </w:rPr>
      </w:pPr>
    </w:p>
    <w:p w14:paraId="1935C200" w14:textId="77777777" w:rsidR="00076C89" w:rsidRPr="008945B2" w:rsidRDefault="00076C89" w:rsidP="001A1A64">
      <w:pPr>
        <w:pStyle w:val="ListParagraph"/>
        <w:rPr>
          <w:sz w:val="24"/>
          <w:szCs w:val="24"/>
        </w:rPr>
      </w:pPr>
    </w:p>
    <w:sectPr w:rsidR="00076C89" w:rsidRPr="008945B2" w:rsidSect="004A1D16">
      <w:headerReference w:type="default" r:id="rId10"/>
      <w:footerReference w:type="even" r:id="rId11"/>
      <w:footerReference w:type="default" r:id="rId12"/>
      <w:pgSz w:w="11900" w:h="16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60EC0" w14:textId="77777777" w:rsidR="00BF30DE" w:rsidRDefault="00BF30DE" w:rsidP="001647D6">
      <w:r>
        <w:separator/>
      </w:r>
    </w:p>
  </w:endnote>
  <w:endnote w:type="continuationSeparator" w:id="0">
    <w:p w14:paraId="21EBF440" w14:textId="77777777" w:rsidR="00BF30DE" w:rsidRDefault="00BF30DE" w:rsidP="0016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Courier New"/>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679845"/>
      <w:docPartObj>
        <w:docPartGallery w:val="Page Numbers (Bottom of Page)"/>
        <w:docPartUnique/>
      </w:docPartObj>
    </w:sdtPr>
    <w:sdtEndPr>
      <w:rPr>
        <w:rStyle w:val="PageNumber"/>
      </w:rPr>
    </w:sdtEndPr>
    <w:sdtContent>
      <w:p w14:paraId="1EE4FC02" w14:textId="3166EFC5" w:rsidR="001647D6" w:rsidRDefault="001647D6" w:rsidP="00D8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B48F87" w14:textId="77777777" w:rsidR="001647D6" w:rsidRDefault="001647D6" w:rsidP="001647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319602"/>
      <w:docPartObj>
        <w:docPartGallery w:val="Page Numbers (Bottom of Page)"/>
        <w:docPartUnique/>
      </w:docPartObj>
    </w:sdtPr>
    <w:sdtEndPr>
      <w:rPr>
        <w:rStyle w:val="PageNumber"/>
      </w:rPr>
    </w:sdtEndPr>
    <w:sdtContent>
      <w:p w14:paraId="4F5603D3" w14:textId="66C424F3" w:rsidR="001647D6" w:rsidRDefault="001647D6" w:rsidP="00D8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5B82">
          <w:rPr>
            <w:rStyle w:val="PageNumber"/>
            <w:noProof/>
          </w:rPr>
          <w:t>1</w:t>
        </w:r>
        <w:r>
          <w:rPr>
            <w:rStyle w:val="PageNumber"/>
          </w:rPr>
          <w:fldChar w:fldCharType="end"/>
        </w:r>
      </w:p>
    </w:sdtContent>
  </w:sdt>
  <w:p w14:paraId="74E14203" w14:textId="76B369A0" w:rsidR="001647D6" w:rsidRPr="001647D6" w:rsidRDefault="001647D6" w:rsidP="001647D6">
    <w:pPr>
      <w:pStyle w:val="Footer"/>
      <w:ind w:right="360"/>
      <w:rPr>
        <w:rFonts w:ascii="Poppins" w:hAnsi="Poppins" w:cs="Poppins"/>
        <w:sz w:val="20"/>
        <w:szCs w:val="20"/>
      </w:rPr>
    </w:pPr>
    <w:r w:rsidRPr="001647D6">
      <w:rPr>
        <w:rFonts w:ascii="Poppins" w:hAnsi="Poppins" w:cs="Poppins"/>
        <w:sz w:val="20"/>
        <w:szCs w:val="20"/>
      </w:rPr>
      <w:t>NCL</w:t>
    </w:r>
    <w:r w:rsidRPr="001647D6">
      <w:rPr>
        <w:rFonts w:ascii="Poppins" w:hAnsi="Poppins" w:cs="Poppins"/>
        <w:sz w:val="20"/>
        <w:szCs w:val="20"/>
      </w:rPr>
      <w:ptab w:relativeTo="margin" w:alignment="center" w:leader="none"/>
    </w:r>
    <w:r>
      <w:rPr>
        <w:rFonts w:ascii="Poppins" w:hAnsi="Poppins" w:cs="Poppins"/>
        <w:sz w:val="20"/>
        <w:szCs w:val="20"/>
      </w:rPr>
      <w:t>[Insert Title]</w:t>
    </w:r>
    <w:r w:rsidRPr="001647D6">
      <w:rPr>
        <w:rFonts w:ascii="Poppins" w:hAnsi="Poppins" w:cs="Poppins"/>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F854D" w14:textId="77777777" w:rsidR="00BF30DE" w:rsidRDefault="00BF30DE" w:rsidP="001647D6">
      <w:r>
        <w:separator/>
      </w:r>
    </w:p>
  </w:footnote>
  <w:footnote w:type="continuationSeparator" w:id="0">
    <w:p w14:paraId="3594BB9D" w14:textId="77777777" w:rsidR="00BF30DE" w:rsidRDefault="00BF30DE" w:rsidP="0016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5775" w14:textId="17812397" w:rsidR="001647D6" w:rsidRDefault="00477458" w:rsidP="001647D6">
    <w:pPr>
      <w:pStyle w:val="Header"/>
      <w:jc w:val="right"/>
    </w:pPr>
    <w:r>
      <w:rPr>
        <w:noProof/>
        <w:lang w:eastAsia="en-GB"/>
      </w:rPr>
      <w:drawing>
        <wp:anchor distT="0" distB="0" distL="114300" distR="114300" simplePos="0" relativeHeight="251658240" behindDoc="1" locked="0" layoutInCell="1" allowOverlap="1" wp14:anchorId="503F21A9" wp14:editId="51966A35">
          <wp:simplePos x="0" y="0"/>
          <wp:positionH relativeFrom="column">
            <wp:posOffset>4323080</wp:posOffset>
          </wp:positionH>
          <wp:positionV relativeFrom="paragraph">
            <wp:posOffset>-183381</wp:posOffset>
          </wp:positionV>
          <wp:extent cx="1979930" cy="977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14:paraId="3E3D60D6" w14:textId="77777777" w:rsidR="001647D6" w:rsidRDefault="0016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DBD"/>
    <w:multiLevelType w:val="hybridMultilevel"/>
    <w:tmpl w:val="62362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435AD"/>
    <w:multiLevelType w:val="hybridMultilevel"/>
    <w:tmpl w:val="C040F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5D44C6"/>
    <w:multiLevelType w:val="hybridMultilevel"/>
    <w:tmpl w:val="22800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D6"/>
    <w:rsid w:val="00016700"/>
    <w:rsid w:val="000351AC"/>
    <w:rsid w:val="00057252"/>
    <w:rsid w:val="00075130"/>
    <w:rsid w:val="00076C89"/>
    <w:rsid w:val="000A29EB"/>
    <w:rsid w:val="000B5C13"/>
    <w:rsid w:val="000C2120"/>
    <w:rsid w:val="000C6731"/>
    <w:rsid w:val="000E455A"/>
    <w:rsid w:val="00105DB1"/>
    <w:rsid w:val="00144C72"/>
    <w:rsid w:val="001647D6"/>
    <w:rsid w:val="00181EEF"/>
    <w:rsid w:val="001A1A64"/>
    <w:rsid w:val="001A1CAA"/>
    <w:rsid w:val="001D4E68"/>
    <w:rsid w:val="001D55E6"/>
    <w:rsid w:val="001E1FAA"/>
    <w:rsid w:val="002474ED"/>
    <w:rsid w:val="0025648D"/>
    <w:rsid w:val="002567F1"/>
    <w:rsid w:val="00295B82"/>
    <w:rsid w:val="002B1763"/>
    <w:rsid w:val="002B5B2A"/>
    <w:rsid w:val="002D30AA"/>
    <w:rsid w:val="002D650F"/>
    <w:rsid w:val="002D6F4B"/>
    <w:rsid w:val="00306D31"/>
    <w:rsid w:val="00311EE5"/>
    <w:rsid w:val="003C1C0B"/>
    <w:rsid w:val="003D1A0C"/>
    <w:rsid w:val="003E41B9"/>
    <w:rsid w:val="003E44D8"/>
    <w:rsid w:val="003E6540"/>
    <w:rsid w:val="003F4CE0"/>
    <w:rsid w:val="003F528C"/>
    <w:rsid w:val="00413B2A"/>
    <w:rsid w:val="00444B2D"/>
    <w:rsid w:val="00477458"/>
    <w:rsid w:val="004808A5"/>
    <w:rsid w:val="00483100"/>
    <w:rsid w:val="0048605B"/>
    <w:rsid w:val="004A1D16"/>
    <w:rsid w:val="004B17B6"/>
    <w:rsid w:val="004C3A68"/>
    <w:rsid w:val="004D225C"/>
    <w:rsid w:val="004F0A93"/>
    <w:rsid w:val="0050490E"/>
    <w:rsid w:val="00562DC1"/>
    <w:rsid w:val="0058249A"/>
    <w:rsid w:val="005939FE"/>
    <w:rsid w:val="005943E6"/>
    <w:rsid w:val="005961D5"/>
    <w:rsid w:val="005B55C4"/>
    <w:rsid w:val="0061312D"/>
    <w:rsid w:val="006229AA"/>
    <w:rsid w:val="00652CA2"/>
    <w:rsid w:val="00680619"/>
    <w:rsid w:val="006A1689"/>
    <w:rsid w:val="006C47CD"/>
    <w:rsid w:val="006C6CF3"/>
    <w:rsid w:val="006F4C76"/>
    <w:rsid w:val="006F5523"/>
    <w:rsid w:val="007151F9"/>
    <w:rsid w:val="00745FEB"/>
    <w:rsid w:val="00754627"/>
    <w:rsid w:val="00783E47"/>
    <w:rsid w:val="007C2119"/>
    <w:rsid w:val="007D1884"/>
    <w:rsid w:val="008542EB"/>
    <w:rsid w:val="00865D64"/>
    <w:rsid w:val="00866EAE"/>
    <w:rsid w:val="008945B2"/>
    <w:rsid w:val="00896A61"/>
    <w:rsid w:val="008A0181"/>
    <w:rsid w:val="008A2FE9"/>
    <w:rsid w:val="008B3DB1"/>
    <w:rsid w:val="008B5631"/>
    <w:rsid w:val="008B58AB"/>
    <w:rsid w:val="008B5B9A"/>
    <w:rsid w:val="008E5BE0"/>
    <w:rsid w:val="008F0F97"/>
    <w:rsid w:val="00923455"/>
    <w:rsid w:val="00946A88"/>
    <w:rsid w:val="009537DF"/>
    <w:rsid w:val="00967FF1"/>
    <w:rsid w:val="009A502B"/>
    <w:rsid w:val="009D23D1"/>
    <w:rsid w:val="009D51ED"/>
    <w:rsid w:val="009E629C"/>
    <w:rsid w:val="00A04C4D"/>
    <w:rsid w:val="00A13025"/>
    <w:rsid w:val="00A47C72"/>
    <w:rsid w:val="00A5152F"/>
    <w:rsid w:val="00A51F32"/>
    <w:rsid w:val="00A65E5E"/>
    <w:rsid w:val="00A80AD5"/>
    <w:rsid w:val="00A977F2"/>
    <w:rsid w:val="00AA2A03"/>
    <w:rsid w:val="00AC3AC8"/>
    <w:rsid w:val="00AE3AA1"/>
    <w:rsid w:val="00AE42A2"/>
    <w:rsid w:val="00AF1C4E"/>
    <w:rsid w:val="00B413E1"/>
    <w:rsid w:val="00B70B54"/>
    <w:rsid w:val="00B978E6"/>
    <w:rsid w:val="00B97FC6"/>
    <w:rsid w:val="00BB71B6"/>
    <w:rsid w:val="00BC7BDB"/>
    <w:rsid w:val="00BD1E72"/>
    <w:rsid w:val="00BD49A4"/>
    <w:rsid w:val="00BF30DE"/>
    <w:rsid w:val="00BF6AFC"/>
    <w:rsid w:val="00C071FD"/>
    <w:rsid w:val="00C2692B"/>
    <w:rsid w:val="00C47E87"/>
    <w:rsid w:val="00C5724F"/>
    <w:rsid w:val="00C67CB5"/>
    <w:rsid w:val="00C74D36"/>
    <w:rsid w:val="00CA4342"/>
    <w:rsid w:val="00CB4AB4"/>
    <w:rsid w:val="00CC35F0"/>
    <w:rsid w:val="00CD4816"/>
    <w:rsid w:val="00CD52DE"/>
    <w:rsid w:val="00CE48E3"/>
    <w:rsid w:val="00CE54AE"/>
    <w:rsid w:val="00CF0A2D"/>
    <w:rsid w:val="00D023BB"/>
    <w:rsid w:val="00D02AAF"/>
    <w:rsid w:val="00D440FF"/>
    <w:rsid w:val="00D601DF"/>
    <w:rsid w:val="00D724AC"/>
    <w:rsid w:val="00D85D1C"/>
    <w:rsid w:val="00D871EB"/>
    <w:rsid w:val="00DA2879"/>
    <w:rsid w:val="00DA3031"/>
    <w:rsid w:val="00DA7DB8"/>
    <w:rsid w:val="00DB2C0D"/>
    <w:rsid w:val="00DC32F4"/>
    <w:rsid w:val="00DF5967"/>
    <w:rsid w:val="00E04E3C"/>
    <w:rsid w:val="00E17B71"/>
    <w:rsid w:val="00E21AE4"/>
    <w:rsid w:val="00E82A20"/>
    <w:rsid w:val="00EB1B77"/>
    <w:rsid w:val="00EB6A4A"/>
    <w:rsid w:val="00EE6D88"/>
    <w:rsid w:val="00F075C6"/>
    <w:rsid w:val="00F112BB"/>
    <w:rsid w:val="00F11EF5"/>
    <w:rsid w:val="00F34E54"/>
    <w:rsid w:val="00F35DD2"/>
    <w:rsid w:val="00F8003D"/>
    <w:rsid w:val="00F948DE"/>
    <w:rsid w:val="00FA6387"/>
    <w:rsid w:val="00FC6E61"/>
    <w:rsid w:val="00FE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FDA077"/>
  <w15:chartTrackingRefBased/>
  <w15:docId w15:val="{0131410C-0674-CF48-A079-20DB8319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6"/>
    <w:pPr>
      <w:tabs>
        <w:tab w:val="center" w:pos="4513"/>
        <w:tab w:val="right" w:pos="9026"/>
      </w:tabs>
    </w:pPr>
  </w:style>
  <w:style w:type="character" w:customStyle="1" w:styleId="HeaderChar">
    <w:name w:val="Header Char"/>
    <w:basedOn w:val="DefaultParagraphFont"/>
    <w:link w:val="Header"/>
    <w:uiPriority w:val="99"/>
    <w:rsid w:val="001647D6"/>
  </w:style>
  <w:style w:type="paragraph" w:styleId="Footer">
    <w:name w:val="footer"/>
    <w:basedOn w:val="Normal"/>
    <w:link w:val="FooterChar"/>
    <w:uiPriority w:val="99"/>
    <w:unhideWhenUsed/>
    <w:rsid w:val="001647D6"/>
    <w:pPr>
      <w:tabs>
        <w:tab w:val="center" w:pos="4513"/>
        <w:tab w:val="right" w:pos="9026"/>
      </w:tabs>
    </w:pPr>
  </w:style>
  <w:style w:type="character" w:customStyle="1" w:styleId="FooterChar">
    <w:name w:val="Footer Char"/>
    <w:basedOn w:val="DefaultParagraphFont"/>
    <w:link w:val="Footer"/>
    <w:uiPriority w:val="99"/>
    <w:rsid w:val="001647D6"/>
  </w:style>
  <w:style w:type="character" w:styleId="PageNumber">
    <w:name w:val="page number"/>
    <w:basedOn w:val="DefaultParagraphFont"/>
    <w:uiPriority w:val="99"/>
    <w:semiHidden/>
    <w:unhideWhenUsed/>
    <w:rsid w:val="001647D6"/>
  </w:style>
  <w:style w:type="paragraph" w:styleId="ListParagraph">
    <w:name w:val="List Paragraph"/>
    <w:basedOn w:val="Normal"/>
    <w:uiPriority w:val="34"/>
    <w:qFormat/>
    <w:rsid w:val="00F948DE"/>
    <w:pPr>
      <w:spacing w:after="160" w:line="256" w:lineRule="auto"/>
      <w:ind w:left="720"/>
      <w:contextualSpacing/>
    </w:pPr>
    <w:rPr>
      <w:sz w:val="22"/>
      <w:szCs w:val="22"/>
    </w:rPr>
  </w:style>
  <w:style w:type="table" w:styleId="TableGrid">
    <w:name w:val="Table Grid"/>
    <w:basedOn w:val="TableNormal"/>
    <w:uiPriority w:val="39"/>
    <w:rsid w:val="00F3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4627"/>
  </w:style>
  <w:style w:type="paragraph" w:styleId="NormalWeb">
    <w:name w:val="Normal (Web)"/>
    <w:basedOn w:val="Normal"/>
    <w:uiPriority w:val="99"/>
    <w:semiHidden/>
    <w:unhideWhenUsed/>
    <w:rsid w:val="00C47E8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37707">
      <w:bodyDiv w:val="1"/>
      <w:marLeft w:val="0"/>
      <w:marRight w:val="0"/>
      <w:marTop w:val="0"/>
      <w:marBottom w:val="0"/>
      <w:divBdr>
        <w:top w:val="none" w:sz="0" w:space="0" w:color="auto"/>
        <w:left w:val="none" w:sz="0" w:space="0" w:color="auto"/>
        <w:bottom w:val="none" w:sz="0" w:space="0" w:color="auto"/>
        <w:right w:val="none" w:sz="0" w:space="0" w:color="auto"/>
      </w:divBdr>
    </w:div>
    <w:div w:id="1846703049">
      <w:bodyDiv w:val="1"/>
      <w:marLeft w:val="0"/>
      <w:marRight w:val="0"/>
      <w:marTop w:val="0"/>
      <w:marBottom w:val="0"/>
      <w:divBdr>
        <w:top w:val="none" w:sz="0" w:space="0" w:color="auto"/>
        <w:left w:val="none" w:sz="0" w:space="0" w:color="auto"/>
        <w:bottom w:val="none" w:sz="0" w:space="0" w:color="auto"/>
        <w:right w:val="none" w:sz="0" w:space="0" w:color="auto"/>
      </w:divBdr>
      <w:divsChild>
        <w:div w:id="175184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5E36DC0A6CDB4897353E56CB095D6B" ma:contentTypeVersion="14" ma:contentTypeDescription="Create a new document." ma:contentTypeScope="" ma:versionID="019d4257806b0d014d9d25d181b86557">
  <xsd:schema xmlns:xsd="http://www.w3.org/2001/XMLSchema" xmlns:xs="http://www.w3.org/2001/XMLSchema" xmlns:p="http://schemas.microsoft.com/office/2006/metadata/properties" xmlns:ns3="a2aeb091-ef3a-460c-a520-ed40f2f0a403" xmlns:ns4="b4b9f526-4c74-4b4c-b38a-255ac0f3f369" targetNamespace="http://schemas.microsoft.com/office/2006/metadata/properties" ma:root="true" ma:fieldsID="018eb3e17af35a0b3635634849f6273e" ns3:_="" ns4:_="">
    <xsd:import namespace="a2aeb091-ef3a-460c-a520-ed40f2f0a403"/>
    <xsd:import namespace="b4b9f526-4c74-4b4c-b38a-255ac0f3f3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eb091-ef3a-460c-a520-ed40f2f0a4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9f526-4c74-4b4c-b38a-255ac0f3f3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9D7AE-EE7B-4C19-BFCD-33011D28004D}">
  <ds:schemaRefs>
    <ds:schemaRef ds:uri="http://schemas.microsoft.com/sharepoint/v3/contenttype/forms"/>
  </ds:schemaRefs>
</ds:datastoreItem>
</file>

<file path=customXml/itemProps2.xml><?xml version="1.0" encoding="utf-8"?>
<ds:datastoreItem xmlns:ds="http://schemas.openxmlformats.org/officeDocument/2006/customXml" ds:itemID="{89993A8E-624D-40E8-B00F-04E4FF0C7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eb091-ef3a-460c-a520-ed40f2f0a403"/>
    <ds:schemaRef ds:uri="b4b9f526-4c74-4b4c-b38a-255ac0f3f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E6FA9-4B9C-4FF1-BAB7-47111AE0F817}">
  <ds:schemaRefs>
    <ds:schemaRef ds:uri="http://purl.org/dc/dcmitype/"/>
    <ds:schemaRef ds:uri="http://schemas.openxmlformats.org/package/2006/metadata/core-properties"/>
    <ds:schemaRef ds:uri="http://purl.org/dc/elements/1.1/"/>
    <ds:schemaRef ds:uri="http://www.w3.org/XML/1998/namespace"/>
    <ds:schemaRef ds:uri="b4b9f526-4c74-4b4c-b38a-255ac0f3f369"/>
    <ds:schemaRef ds:uri="http://purl.org/dc/terms/"/>
    <ds:schemaRef ds:uri="a2aeb091-ef3a-460c-a520-ed40f2f0a403"/>
    <ds:schemaRef ds:uri="http://schemas.microsoft.com/office/infopath/2007/PartnerControls"/>
    <ds:schemaRef ds:uri="http://schemas.microsoft.com/office/2006/metadata/propertie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McDonald</dc:creator>
  <cp:keywords/>
  <dc:description/>
  <cp:lastModifiedBy>John Morrison</cp:lastModifiedBy>
  <cp:revision>2</cp:revision>
  <dcterms:created xsi:type="dcterms:W3CDTF">2023-05-12T14:43:00Z</dcterms:created>
  <dcterms:modified xsi:type="dcterms:W3CDTF">2023-05-12T14:43:00Z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0x0101008C5E36DC0A6CDB4897353E56CB095D6B</vt:lpwstr>
  </property>
</Properties>
</file>