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CF" w:rsidRPr="00B604D1" w:rsidRDefault="00EC47CF" w:rsidP="005448D5">
      <w:pPr>
        <w:spacing w:after="0" w:line="240" w:lineRule="auto"/>
        <w:jc w:val="right"/>
        <w:rPr>
          <w:rFonts w:ascii="Calibri" w:eastAsia="Times New Roman" w:hAnsi="Calibri" w:cs="Times New Roman"/>
          <w:sz w:val="24"/>
          <w:szCs w:val="24"/>
          <w:lang w:eastAsia="en-GB"/>
        </w:rPr>
      </w:pPr>
    </w:p>
    <w:tbl>
      <w:tblPr>
        <w:tblpPr w:leftFromText="180" w:rightFromText="180" w:vertAnchor="page" w:horzAnchor="margin" w:tblpY="2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47CF" w:rsidRPr="00166531" w:rsidTr="0011040B">
        <w:trPr>
          <w:trHeight w:val="274"/>
        </w:trPr>
        <w:tc>
          <w:tcPr>
            <w:tcW w:w="9067" w:type="dxa"/>
            <w:gridSpan w:val="4"/>
            <w:shd w:val="clear" w:color="auto" w:fill="auto"/>
          </w:tcPr>
          <w:p w:rsidR="00EC47CF" w:rsidRPr="00166531" w:rsidRDefault="00EC47CF" w:rsidP="005B1FB5">
            <w:pPr>
              <w:spacing w:after="0" w:line="240" w:lineRule="auto"/>
              <w:jc w:val="center"/>
              <w:rPr>
                <w:rFonts w:ascii="Calibri" w:eastAsia="Times New Roman" w:hAnsi="Calibri" w:cs="Times New Roman"/>
                <w:b/>
                <w:lang w:eastAsia="en-GB"/>
              </w:rPr>
            </w:pPr>
            <w:r w:rsidRPr="00166531">
              <w:rPr>
                <w:rFonts w:ascii="Calibri" w:eastAsia="Times New Roman" w:hAnsi="Calibri" w:cs="Times New Roman"/>
                <w:b/>
                <w:color w:val="FF0000"/>
                <w:lang w:eastAsia="en-GB"/>
              </w:rPr>
              <w:t>FOR DISCUS</w:t>
            </w:r>
            <w:r w:rsidR="000A0D09" w:rsidRPr="00166531">
              <w:rPr>
                <w:rFonts w:ascii="Calibri" w:eastAsia="Times New Roman" w:hAnsi="Calibri" w:cs="Times New Roman"/>
                <w:b/>
                <w:color w:val="FF0000"/>
                <w:lang w:eastAsia="en-GB"/>
              </w:rPr>
              <w:t>S</w:t>
            </w:r>
            <w:r w:rsidRPr="00166531">
              <w:rPr>
                <w:rFonts w:ascii="Calibri" w:eastAsia="Times New Roman" w:hAnsi="Calibri" w:cs="Times New Roman"/>
                <w:b/>
                <w:color w:val="FF0000"/>
                <w:lang w:eastAsia="en-GB"/>
              </w:rPr>
              <w:t xml:space="preserve">ION/INFORMATION </w:t>
            </w:r>
          </w:p>
        </w:tc>
      </w:tr>
      <w:tr w:rsidR="00EC47CF" w:rsidRPr="00166531" w:rsidTr="0011040B">
        <w:tc>
          <w:tcPr>
            <w:tcW w:w="9067" w:type="dxa"/>
            <w:gridSpan w:val="4"/>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 xml:space="preserve">Meeting:                     </w:t>
            </w:r>
            <w:r w:rsidRPr="00166531">
              <w:rPr>
                <w:rFonts w:ascii="Calibri" w:eastAsia="Times New Roman" w:hAnsi="Calibri" w:cs="Times New Roman"/>
                <w:b/>
                <w:lang w:eastAsia="en-GB"/>
              </w:rPr>
              <w:t>Curriculum and Student Affairs and Outcome</w:t>
            </w:r>
          </w:p>
        </w:tc>
      </w:tr>
      <w:tr w:rsidR="00EC47CF" w:rsidRPr="00166531" w:rsidTr="0011040B">
        <w:tc>
          <w:tcPr>
            <w:tcW w:w="1951" w:type="dxa"/>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Presented by</w:t>
            </w:r>
          </w:p>
        </w:tc>
        <w:tc>
          <w:tcPr>
            <w:tcW w:w="7116" w:type="dxa"/>
            <w:gridSpan w:val="3"/>
            <w:shd w:val="clear" w:color="auto" w:fill="auto"/>
          </w:tcPr>
          <w:p w:rsidR="00EC47CF" w:rsidRPr="0011040B" w:rsidRDefault="0014116B" w:rsidP="005B1FB5">
            <w:pPr>
              <w:spacing w:after="0" w:line="240" w:lineRule="auto"/>
              <w:rPr>
                <w:rFonts w:ascii="Calibri" w:eastAsia="Times New Roman" w:hAnsi="Calibri" w:cs="Times New Roman"/>
                <w:b/>
                <w:lang w:eastAsia="en-GB"/>
              </w:rPr>
            </w:pPr>
            <w:r w:rsidRPr="0011040B">
              <w:rPr>
                <w:rFonts w:ascii="Calibri" w:eastAsia="Times New Roman" w:hAnsi="Calibri" w:cs="Times New Roman"/>
                <w:b/>
                <w:lang w:eastAsia="en-GB"/>
              </w:rPr>
              <w:t>Ann Baxter</w:t>
            </w:r>
          </w:p>
        </w:tc>
      </w:tr>
      <w:tr w:rsidR="00EC47CF" w:rsidRPr="00166531" w:rsidTr="0011040B">
        <w:tc>
          <w:tcPr>
            <w:tcW w:w="1951" w:type="dxa"/>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Author/Contact</w:t>
            </w:r>
          </w:p>
        </w:tc>
        <w:tc>
          <w:tcPr>
            <w:tcW w:w="2443" w:type="dxa"/>
            <w:shd w:val="clear" w:color="auto" w:fill="auto"/>
          </w:tcPr>
          <w:p w:rsidR="00EC47CF" w:rsidRPr="0011040B" w:rsidRDefault="0014116B" w:rsidP="005B1FB5">
            <w:pPr>
              <w:spacing w:after="0" w:line="240" w:lineRule="auto"/>
              <w:rPr>
                <w:rFonts w:ascii="Calibri" w:eastAsia="Times New Roman" w:hAnsi="Calibri" w:cs="Times New Roman"/>
                <w:b/>
                <w:lang w:eastAsia="en-GB"/>
              </w:rPr>
            </w:pPr>
            <w:r w:rsidRPr="0011040B">
              <w:rPr>
                <w:rFonts w:ascii="Calibri" w:eastAsia="Times New Roman" w:hAnsi="Calibri" w:cs="Times New Roman"/>
                <w:b/>
                <w:lang w:eastAsia="en-GB"/>
              </w:rPr>
              <w:t>Ann Baxter</w:t>
            </w:r>
          </w:p>
        </w:tc>
        <w:tc>
          <w:tcPr>
            <w:tcW w:w="2339" w:type="dxa"/>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Department / Unit</w:t>
            </w:r>
          </w:p>
        </w:tc>
        <w:tc>
          <w:tcPr>
            <w:tcW w:w="2334" w:type="dxa"/>
            <w:shd w:val="clear" w:color="auto" w:fill="auto"/>
          </w:tcPr>
          <w:p w:rsidR="00EC47CF" w:rsidRPr="0011040B" w:rsidRDefault="0014116B" w:rsidP="005B1FB5">
            <w:pPr>
              <w:spacing w:after="0" w:line="240" w:lineRule="auto"/>
              <w:rPr>
                <w:rFonts w:ascii="Calibri" w:eastAsia="Times New Roman" w:hAnsi="Calibri" w:cs="Times New Roman"/>
                <w:b/>
                <w:lang w:eastAsia="en-GB"/>
              </w:rPr>
            </w:pPr>
            <w:r w:rsidRPr="0011040B">
              <w:rPr>
                <w:rFonts w:ascii="Calibri" w:eastAsia="Times New Roman" w:hAnsi="Calibri" w:cs="Times New Roman"/>
                <w:b/>
                <w:lang w:eastAsia="en-GB"/>
              </w:rPr>
              <w:t xml:space="preserve">Executive </w:t>
            </w:r>
          </w:p>
        </w:tc>
      </w:tr>
      <w:tr w:rsidR="00EC47CF" w:rsidRPr="00166531" w:rsidTr="0011040B">
        <w:tc>
          <w:tcPr>
            <w:tcW w:w="1951" w:type="dxa"/>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Date Created</w:t>
            </w:r>
          </w:p>
        </w:tc>
        <w:tc>
          <w:tcPr>
            <w:tcW w:w="2443" w:type="dxa"/>
            <w:shd w:val="clear" w:color="auto" w:fill="auto"/>
          </w:tcPr>
          <w:p w:rsidR="00EC47CF" w:rsidRPr="0011040B" w:rsidRDefault="0011040B" w:rsidP="005B1FB5">
            <w:pPr>
              <w:spacing w:after="0" w:line="240" w:lineRule="auto"/>
              <w:rPr>
                <w:rFonts w:ascii="Calibri" w:eastAsia="Times New Roman" w:hAnsi="Calibri" w:cs="Arial"/>
                <w:b/>
                <w:lang w:eastAsia="en-GB"/>
              </w:rPr>
            </w:pPr>
            <w:r w:rsidRPr="0011040B">
              <w:rPr>
                <w:rFonts w:ascii="Calibri" w:eastAsia="Times New Roman" w:hAnsi="Calibri" w:cs="Arial"/>
                <w:b/>
                <w:lang w:eastAsia="en-GB"/>
              </w:rPr>
              <w:t>19</w:t>
            </w:r>
            <w:r w:rsidRPr="0011040B">
              <w:rPr>
                <w:rFonts w:ascii="Calibri" w:eastAsia="Times New Roman" w:hAnsi="Calibri" w:cs="Arial"/>
                <w:b/>
                <w:vertAlign w:val="superscript"/>
                <w:lang w:eastAsia="en-GB"/>
              </w:rPr>
              <w:t>th</w:t>
            </w:r>
            <w:r w:rsidRPr="0011040B">
              <w:rPr>
                <w:rFonts w:ascii="Calibri" w:eastAsia="Times New Roman" w:hAnsi="Calibri" w:cs="Arial"/>
                <w:b/>
                <w:lang w:eastAsia="en-GB"/>
              </w:rPr>
              <w:t xml:space="preserve"> </w:t>
            </w:r>
            <w:r w:rsidR="00CE5A1D" w:rsidRPr="0011040B">
              <w:rPr>
                <w:rFonts w:ascii="Calibri" w:eastAsia="Times New Roman" w:hAnsi="Calibri" w:cs="Arial"/>
                <w:b/>
                <w:lang w:eastAsia="en-GB"/>
              </w:rPr>
              <w:t>August 2024</w:t>
            </w:r>
          </w:p>
        </w:tc>
        <w:tc>
          <w:tcPr>
            <w:tcW w:w="2339" w:type="dxa"/>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Telephone</w:t>
            </w:r>
          </w:p>
        </w:tc>
        <w:tc>
          <w:tcPr>
            <w:tcW w:w="2334" w:type="dxa"/>
            <w:shd w:val="clear" w:color="auto" w:fill="auto"/>
          </w:tcPr>
          <w:p w:rsidR="00EC47CF" w:rsidRPr="0011040B" w:rsidRDefault="0014116B" w:rsidP="005B1FB5">
            <w:pPr>
              <w:spacing w:after="0" w:line="240" w:lineRule="auto"/>
              <w:rPr>
                <w:rFonts w:ascii="Calibri" w:eastAsia="Times New Roman" w:hAnsi="Calibri" w:cs="Arial"/>
                <w:b/>
                <w:lang w:eastAsia="en-GB"/>
              </w:rPr>
            </w:pPr>
            <w:r w:rsidRPr="0011040B">
              <w:rPr>
                <w:rFonts w:ascii="Calibri" w:eastAsia="Times New Roman" w:hAnsi="Calibri" w:cs="Arial"/>
                <w:b/>
                <w:lang w:eastAsia="en-GB"/>
              </w:rPr>
              <w:t>2359</w:t>
            </w:r>
          </w:p>
        </w:tc>
      </w:tr>
      <w:tr w:rsidR="00EC47CF" w:rsidRPr="00166531" w:rsidTr="0011040B">
        <w:tc>
          <w:tcPr>
            <w:tcW w:w="1951" w:type="dxa"/>
            <w:shd w:val="clear" w:color="auto" w:fill="auto"/>
          </w:tcPr>
          <w:p w:rsidR="00EC47CF" w:rsidRPr="00166531" w:rsidRDefault="00EC47CF" w:rsidP="005B1FB5">
            <w:pPr>
              <w:spacing w:after="0" w:line="240" w:lineRule="auto"/>
              <w:rPr>
                <w:rFonts w:ascii="Calibri" w:eastAsia="Times New Roman" w:hAnsi="Calibri" w:cs="Times New Roman"/>
                <w:lang w:eastAsia="en-GB"/>
              </w:rPr>
            </w:pPr>
            <w:r w:rsidRPr="00166531">
              <w:rPr>
                <w:rFonts w:ascii="Calibri" w:eastAsia="Times New Roman" w:hAnsi="Calibri" w:cs="Times New Roman"/>
                <w:lang w:eastAsia="en-GB"/>
              </w:rPr>
              <w:t>Appendices Attached</w:t>
            </w:r>
          </w:p>
        </w:tc>
        <w:tc>
          <w:tcPr>
            <w:tcW w:w="7116" w:type="dxa"/>
            <w:gridSpan w:val="3"/>
            <w:shd w:val="clear" w:color="auto" w:fill="auto"/>
          </w:tcPr>
          <w:p w:rsidR="00EC47CF" w:rsidRPr="00166531" w:rsidRDefault="0014116B" w:rsidP="005B1FB5">
            <w:pPr>
              <w:rPr>
                <w:rFonts w:ascii="Calibri" w:eastAsia="Times New Roman" w:hAnsi="Calibri" w:cs="Arial"/>
                <w:b/>
                <w:lang w:eastAsia="en-GB"/>
              </w:rPr>
            </w:pPr>
            <w:r w:rsidRPr="00166531">
              <w:rPr>
                <w:rFonts w:ascii="Calibri" w:eastAsia="Times New Roman" w:hAnsi="Calibri" w:cs="Arial"/>
                <w:b/>
                <w:lang w:eastAsia="en-GB"/>
              </w:rPr>
              <w:t>Credit and Curriculum Update</w:t>
            </w:r>
          </w:p>
        </w:tc>
      </w:tr>
      <w:tr w:rsidR="00EC47CF" w:rsidRPr="00166531" w:rsidTr="0011040B">
        <w:trPr>
          <w:trHeight w:val="325"/>
        </w:trPr>
        <w:tc>
          <w:tcPr>
            <w:tcW w:w="4394" w:type="dxa"/>
            <w:gridSpan w:val="2"/>
            <w:shd w:val="clear" w:color="auto" w:fill="auto"/>
          </w:tcPr>
          <w:p w:rsidR="00EC47CF" w:rsidRPr="00166531" w:rsidRDefault="00EC47CF" w:rsidP="005B1FB5">
            <w:pPr>
              <w:tabs>
                <w:tab w:val="left" w:pos="1710"/>
              </w:tabs>
              <w:spacing w:after="0" w:line="240" w:lineRule="auto"/>
              <w:ind w:left="1512" w:hanging="1512"/>
              <w:rPr>
                <w:rFonts w:ascii="Calibri" w:eastAsia="Times New Roman" w:hAnsi="Calibri" w:cs="Times New Roman"/>
                <w:lang w:eastAsia="en-GB"/>
              </w:rPr>
            </w:pPr>
            <w:r w:rsidRPr="00166531">
              <w:rPr>
                <w:rFonts w:ascii="Calibri" w:eastAsia="Times New Roman" w:hAnsi="Calibri" w:cs="Times New Roman"/>
                <w:lang w:eastAsia="en-GB"/>
              </w:rPr>
              <w:t>Disclosable under FOISA</w:t>
            </w:r>
          </w:p>
        </w:tc>
        <w:tc>
          <w:tcPr>
            <w:tcW w:w="4673" w:type="dxa"/>
            <w:gridSpan w:val="2"/>
            <w:shd w:val="clear" w:color="auto" w:fill="auto"/>
          </w:tcPr>
          <w:p w:rsidR="00EC47CF" w:rsidRPr="00166531" w:rsidRDefault="00EC47CF" w:rsidP="005B1FB5">
            <w:pPr>
              <w:tabs>
                <w:tab w:val="left" w:pos="1710"/>
              </w:tabs>
              <w:spacing w:after="0" w:line="240" w:lineRule="auto"/>
              <w:ind w:left="1512" w:hanging="1512"/>
              <w:rPr>
                <w:rFonts w:ascii="Calibri" w:eastAsia="Times New Roman" w:hAnsi="Calibri" w:cs="Times New Roman"/>
                <w:b/>
                <w:lang w:eastAsia="en-GB"/>
              </w:rPr>
            </w:pPr>
            <w:r w:rsidRPr="00166531">
              <w:rPr>
                <w:rFonts w:ascii="Calibri" w:eastAsia="Times New Roman" w:hAnsi="Calibri" w:cs="Times New Roman"/>
                <w:b/>
                <w:lang w:eastAsia="en-GB"/>
              </w:rPr>
              <w:t>Yes</w:t>
            </w:r>
          </w:p>
        </w:tc>
      </w:tr>
    </w:tbl>
    <w:p w:rsidR="0086049E" w:rsidRPr="00166531" w:rsidRDefault="0086049E" w:rsidP="00CE5A1D">
      <w:pPr>
        <w:spacing w:after="0" w:line="240" w:lineRule="auto"/>
        <w:jc w:val="both"/>
        <w:rPr>
          <w:rFonts w:ascii="Calibri" w:eastAsia="Times New Roman" w:hAnsi="Calibri" w:cs="Arial"/>
          <w:b/>
          <w:lang w:eastAsia="en-GB"/>
        </w:rPr>
      </w:pPr>
    </w:p>
    <w:p w:rsidR="00EC47CF" w:rsidRPr="00166531" w:rsidRDefault="00EC47CF" w:rsidP="0011040B">
      <w:pPr>
        <w:numPr>
          <w:ilvl w:val="0"/>
          <w:numId w:val="2"/>
        </w:numPr>
        <w:spacing w:after="0" w:line="240" w:lineRule="auto"/>
        <w:ind w:left="567" w:hanging="567"/>
        <w:jc w:val="both"/>
        <w:rPr>
          <w:rFonts w:ascii="Calibri" w:eastAsia="Times New Roman" w:hAnsi="Calibri" w:cs="Arial"/>
          <w:b/>
          <w:lang w:eastAsia="en-GB"/>
        </w:rPr>
      </w:pPr>
      <w:r w:rsidRPr="00166531">
        <w:rPr>
          <w:rFonts w:ascii="Calibri" w:eastAsia="Times New Roman" w:hAnsi="Calibri" w:cs="Arial"/>
          <w:b/>
          <w:lang w:eastAsia="en-GB"/>
        </w:rPr>
        <w:t>PURPOSE</w:t>
      </w:r>
    </w:p>
    <w:p w:rsidR="00730CC8" w:rsidRPr="00166531" w:rsidRDefault="0011040B" w:rsidP="0011040B">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0CC8" w:rsidRPr="00166531">
        <w:rPr>
          <w:rFonts w:ascii="Calibri" w:eastAsia="Times New Roman" w:hAnsi="Calibri" w:cs="Arial"/>
          <w:lang w:eastAsia="en-GB"/>
        </w:rPr>
        <w:t xml:space="preserve">To update CSAO on NCL credit target </w:t>
      </w:r>
      <w:r w:rsidR="00CE5A1D" w:rsidRPr="00166531">
        <w:rPr>
          <w:rFonts w:ascii="Calibri" w:eastAsia="Times New Roman" w:hAnsi="Calibri" w:cs="Arial"/>
          <w:lang w:eastAsia="en-GB"/>
        </w:rPr>
        <w:t>and draft KPI performance for 2023-</w:t>
      </w:r>
      <w:r>
        <w:rPr>
          <w:rFonts w:ascii="Calibri" w:eastAsia="Times New Roman" w:hAnsi="Calibri" w:cs="Arial"/>
          <w:lang w:eastAsia="en-GB"/>
        </w:rPr>
        <w:t>202</w:t>
      </w:r>
      <w:r w:rsidR="00CE5A1D" w:rsidRPr="00166531">
        <w:rPr>
          <w:rFonts w:ascii="Calibri" w:eastAsia="Times New Roman" w:hAnsi="Calibri" w:cs="Arial"/>
          <w:lang w:eastAsia="en-GB"/>
        </w:rPr>
        <w:t>4 by level and mode of attendance</w:t>
      </w:r>
      <w:r>
        <w:rPr>
          <w:rFonts w:ascii="Calibri" w:eastAsia="Times New Roman" w:hAnsi="Calibri" w:cs="Arial"/>
          <w:lang w:eastAsia="en-GB"/>
        </w:rPr>
        <w:t>.</w:t>
      </w:r>
    </w:p>
    <w:p w:rsidR="00EC47CF" w:rsidRPr="00166531" w:rsidRDefault="00EC47CF" w:rsidP="0011040B">
      <w:pPr>
        <w:spacing w:after="0" w:line="240" w:lineRule="auto"/>
        <w:ind w:left="567" w:hanging="567"/>
        <w:jc w:val="both"/>
        <w:rPr>
          <w:rFonts w:ascii="Calibri" w:eastAsia="Times New Roman" w:hAnsi="Calibri" w:cs="Arial"/>
          <w:sz w:val="16"/>
          <w:szCs w:val="16"/>
          <w:lang w:eastAsia="en-GB"/>
        </w:rPr>
      </w:pPr>
    </w:p>
    <w:p w:rsidR="00EC47CF" w:rsidRPr="00166531" w:rsidRDefault="00EC47CF" w:rsidP="0011040B">
      <w:pPr>
        <w:numPr>
          <w:ilvl w:val="0"/>
          <w:numId w:val="2"/>
        </w:numPr>
        <w:spacing w:after="0" w:line="240" w:lineRule="auto"/>
        <w:ind w:left="567" w:hanging="567"/>
        <w:jc w:val="both"/>
        <w:rPr>
          <w:rFonts w:ascii="Calibri" w:eastAsia="Times New Roman" w:hAnsi="Calibri" w:cs="Arial"/>
          <w:b/>
          <w:lang w:eastAsia="en-GB"/>
        </w:rPr>
      </w:pPr>
      <w:r w:rsidRPr="00166531">
        <w:rPr>
          <w:rFonts w:ascii="Calibri" w:eastAsia="Times New Roman" w:hAnsi="Calibri" w:cs="Arial"/>
          <w:b/>
          <w:lang w:eastAsia="en-GB"/>
        </w:rPr>
        <w:t>BACKGROUND</w:t>
      </w:r>
    </w:p>
    <w:p w:rsidR="00730CC8" w:rsidRPr="00166531" w:rsidRDefault="0011040B" w:rsidP="0011040B">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0CC8" w:rsidRPr="00166531">
        <w:rPr>
          <w:rFonts w:ascii="Calibri" w:eastAsia="Times New Roman" w:hAnsi="Calibri" w:cs="Arial"/>
          <w:lang w:eastAsia="en-GB"/>
        </w:rPr>
        <w:t>Report provided to CSAO updates on progress against targets within the Regional Outcome Agreement.</w:t>
      </w:r>
    </w:p>
    <w:p w:rsidR="00EC47CF" w:rsidRPr="00166531" w:rsidRDefault="00EC47CF" w:rsidP="0011040B">
      <w:pPr>
        <w:spacing w:after="0" w:line="240" w:lineRule="auto"/>
        <w:ind w:left="567" w:hanging="567"/>
        <w:jc w:val="both"/>
        <w:rPr>
          <w:rFonts w:ascii="Calibri" w:eastAsia="Times New Roman" w:hAnsi="Calibri" w:cs="Arial"/>
          <w:lang w:eastAsia="en-GB"/>
        </w:rPr>
      </w:pPr>
    </w:p>
    <w:p w:rsidR="00EC47CF" w:rsidRPr="00166531" w:rsidRDefault="00EC47CF" w:rsidP="0011040B">
      <w:pPr>
        <w:numPr>
          <w:ilvl w:val="0"/>
          <w:numId w:val="2"/>
        </w:numPr>
        <w:spacing w:after="0" w:line="240" w:lineRule="auto"/>
        <w:ind w:left="567" w:hanging="567"/>
        <w:jc w:val="both"/>
        <w:rPr>
          <w:rFonts w:ascii="Calibri" w:eastAsia="Times New Roman" w:hAnsi="Calibri" w:cs="Arial"/>
          <w:b/>
          <w:lang w:eastAsia="en-GB"/>
        </w:rPr>
      </w:pPr>
      <w:r w:rsidRPr="00166531">
        <w:rPr>
          <w:rFonts w:ascii="Calibri" w:eastAsia="Times New Roman" w:hAnsi="Calibri" w:cs="Arial"/>
          <w:b/>
          <w:lang w:eastAsia="en-GB"/>
        </w:rPr>
        <w:t>DETAIL</w:t>
      </w:r>
    </w:p>
    <w:p w:rsidR="005B1FB5" w:rsidRDefault="0011040B" w:rsidP="0011040B">
      <w:pPr>
        <w:pStyle w:val="ListParagraph"/>
        <w:spacing w:after="0" w:line="240" w:lineRule="auto"/>
        <w:ind w:left="567" w:hanging="567"/>
        <w:rPr>
          <w:rFonts w:ascii="Calibri" w:eastAsia="Times New Roman" w:hAnsi="Calibri" w:cs="Arial"/>
          <w:lang w:eastAsia="en-GB"/>
        </w:rPr>
      </w:pPr>
      <w:r>
        <w:rPr>
          <w:rFonts w:ascii="Calibri" w:eastAsia="Times New Roman" w:hAnsi="Calibri" w:cs="Arial"/>
          <w:lang w:eastAsia="en-GB"/>
        </w:rPr>
        <w:tab/>
      </w:r>
      <w:r w:rsidR="00730CC8" w:rsidRPr="00166531">
        <w:rPr>
          <w:rFonts w:ascii="Calibri" w:eastAsia="Times New Roman" w:hAnsi="Calibri" w:cs="Arial"/>
          <w:lang w:eastAsia="en-GB"/>
        </w:rPr>
        <w:t xml:space="preserve">The report includes data submitted to SFC and current </w:t>
      </w:r>
      <w:r w:rsidR="00CE5A1D" w:rsidRPr="00166531">
        <w:rPr>
          <w:rFonts w:ascii="Calibri" w:eastAsia="Times New Roman" w:hAnsi="Calibri" w:cs="Arial"/>
          <w:lang w:eastAsia="en-GB"/>
        </w:rPr>
        <w:t xml:space="preserve">draft </w:t>
      </w:r>
      <w:r w:rsidR="00730CC8" w:rsidRPr="00166531">
        <w:rPr>
          <w:rFonts w:ascii="Calibri" w:eastAsia="Times New Roman" w:hAnsi="Calibri" w:cs="Arial"/>
          <w:lang w:eastAsia="en-GB"/>
        </w:rPr>
        <w:t>NCL performance in 2023-</w:t>
      </w:r>
      <w:r>
        <w:rPr>
          <w:rFonts w:ascii="Calibri" w:eastAsia="Times New Roman" w:hAnsi="Calibri" w:cs="Arial"/>
          <w:lang w:eastAsia="en-GB"/>
        </w:rPr>
        <w:t>20</w:t>
      </w:r>
      <w:r w:rsidR="00730CC8" w:rsidRPr="00166531">
        <w:rPr>
          <w:rFonts w:ascii="Calibri" w:eastAsia="Times New Roman" w:hAnsi="Calibri" w:cs="Arial"/>
          <w:lang w:eastAsia="en-GB"/>
        </w:rPr>
        <w:t>24.</w:t>
      </w:r>
    </w:p>
    <w:p w:rsidR="0011040B" w:rsidRPr="00166531" w:rsidRDefault="0011040B" w:rsidP="0011040B">
      <w:pPr>
        <w:pStyle w:val="ListParagraph"/>
        <w:spacing w:after="0" w:line="240" w:lineRule="auto"/>
        <w:ind w:left="567" w:hanging="567"/>
        <w:rPr>
          <w:rFonts w:ascii="Calibri" w:eastAsia="Times New Roman" w:hAnsi="Calibri" w:cs="Arial"/>
          <w:lang w:eastAsia="en-GB"/>
        </w:rPr>
      </w:pPr>
    </w:p>
    <w:p w:rsidR="00EC47CF" w:rsidRPr="00166531" w:rsidRDefault="00EC47CF" w:rsidP="0011040B">
      <w:pPr>
        <w:numPr>
          <w:ilvl w:val="0"/>
          <w:numId w:val="2"/>
        </w:numPr>
        <w:tabs>
          <w:tab w:val="left" w:pos="709"/>
        </w:tabs>
        <w:spacing w:after="0" w:line="240" w:lineRule="auto"/>
        <w:ind w:left="567" w:hanging="567"/>
        <w:jc w:val="both"/>
        <w:rPr>
          <w:rFonts w:ascii="Calibri" w:eastAsia="Times New Roman" w:hAnsi="Calibri" w:cs="Arial"/>
          <w:b/>
          <w:lang w:eastAsia="en-GB"/>
        </w:rPr>
      </w:pPr>
      <w:r w:rsidRPr="00166531">
        <w:rPr>
          <w:rFonts w:ascii="Calibri" w:eastAsia="Times New Roman" w:hAnsi="Calibri" w:cs="Arial"/>
          <w:b/>
          <w:lang w:eastAsia="en-GB"/>
        </w:rPr>
        <w:t xml:space="preserve">BENEFITS AND OPPORTUNITIES  </w:t>
      </w:r>
    </w:p>
    <w:p w:rsidR="00730CC8" w:rsidRPr="00166531" w:rsidRDefault="0011040B" w:rsidP="0011040B">
      <w:pPr>
        <w:tabs>
          <w:tab w:val="left" w:pos="709"/>
        </w:tabs>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0CC8" w:rsidRPr="00166531">
        <w:rPr>
          <w:rFonts w:ascii="Calibri" w:eastAsia="Times New Roman" w:hAnsi="Calibri" w:cs="Arial"/>
          <w:lang w:eastAsia="en-GB"/>
        </w:rPr>
        <w:t>This report illustrates the progress made in relation to KPIs measures and gives a greater understanding of departmental activity.</w:t>
      </w:r>
    </w:p>
    <w:p w:rsidR="005B1FB5" w:rsidRPr="00166531" w:rsidRDefault="005B1FB5" w:rsidP="0011040B">
      <w:pPr>
        <w:spacing w:after="0" w:line="240" w:lineRule="auto"/>
        <w:ind w:left="567" w:hanging="567"/>
        <w:rPr>
          <w:rFonts w:ascii="Calibri" w:eastAsia="Times New Roman" w:hAnsi="Calibri" w:cs="Arial"/>
          <w:lang w:eastAsia="en-GB"/>
        </w:rPr>
      </w:pPr>
    </w:p>
    <w:p w:rsidR="00EC47CF" w:rsidRPr="00166531" w:rsidRDefault="00EC47CF" w:rsidP="0011040B">
      <w:pPr>
        <w:numPr>
          <w:ilvl w:val="0"/>
          <w:numId w:val="2"/>
        </w:numPr>
        <w:spacing w:after="0" w:line="240" w:lineRule="auto"/>
        <w:ind w:left="567" w:hanging="567"/>
        <w:rPr>
          <w:rFonts w:ascii="Calibri" w:eastAsia="Times New Roman" w:hAnsi="Calibri" w:cs="Arial"/>
          <w:lang w:eastAsia="en-GB"/>
        </w:rPr>
      </w:pPr>
      <w:r w:rsidRPr="00166531">
        <w:rPr>
          <w:rFonts w:ascii="Calibri" w:eastAsia="Times New Roman" w:hAnsi="Calibri" w:cs="Arial"/>
          <w:b/>
          <w:lang w:eastAsia="en-GB"/>
        </w:rPr>
        <w:t>STRATEGIC IMPLICATIONS</w:t>
      </w:r>
    </w:p>
    <w:p w:rsidR="00EC47CF" w:rsidRPr="00166531" w:rsidRDefault="0011040B" w:rsidP="0011040B">
      <w:pPr>
        <w:spacing w:after="0" w:line="240" w:lineRule="auto"/>
        <w:ind w:left="567" w:hanging="567"/>
        <w:rPr>
          <w:rFonts w:ascii="Calibri" w:eastAsia="Times New Roman" w:hAnsi="Calibri" w:cs="Arial"/>
          <w:sz w:val="16"/>
          <w:szCs w:val="16"/>
          <w:lang w:eastAsia="en-GB"/>
        </w:rPr>
      </w:pPr>
      <w:r>
        <w:rPr>
          <w:rFonts w:ascii="Calibri" w:eastAsia="Times New Roman" w:hAnsi="Calibri" w:cs="Arial"/>
          <w:lang w:eastAsia="en-GB"/>
        </w:rPr>
        <w:tab/>
      </w:r>
      <w:r w:rsidR="00EC47CF" w:rsidRPr="00166531">
        <w:rPr>
          <w:rFonts w:ascii="Calibri" w:eastAsia="Times New Roman" w:hAnsi="Calibri" w:cs="Arial"/>
          <w:lang w:eastAsia="en-GB"/>
        </w:rPr>
        <w:t xml:space="preserve">The Board retains an overview of NCL activity in the interests of good governance. </w:t>
      </w:r>
    </w:p>
    <w:p w:rsidR="00CE5A1D" w:rsidRPr="00166531" w:rsidRDefault="00CE5A1D" w:rsidP="0011040B">
      <w:pPr>
        <w:spacing w:after="0" w:line="240" w:lineRule="auto"/>
        <w:ind w:left="567" w:hanging="567"/>
        <w:rPr>
          <w:rFonts w:ascii="Calibri" w:eastAsia="Times New Roman" w:hAnsi="Calibri" w:cs="Arial"/>
          <w:sz w:val="16"/>
          <w:szCs w:val="16"/>
          <w:lang w:eastAsia="en-GB"/>
        </w:rPr>
      </w:pPr>
    </w:p>
    <w:p w:rsidR="00730CC8" w:rsidRPr="00166531" w:rsidRDefault="00EC47CF" w:rsidP="0011040B">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166531">
        <w:rPr>
          <w:rFonts w:ascii="Calibri" w:eastAsia="Times New Roman" w:hAnsi="Calibri" w:cs="Arial"/>
          <w:b/>
          <w:lang w:eastAsia="en-GB"/>
        </w:rPr>
        <w:t>RISK</w:t>
      </w:r>
    </w:p>
    <w:p w:rsidR="00C9571C" w:rsidRPr="0011040B" w:rsidRDefault="0011040B" w:rsidP="0011040B">
      <w:pPr>
        <w:spacing w:after="0" w:line="240" w:lineRule="auto"/>
        <w:ind w:left="567" w:right="386" w:hanging="567"/>
        <w:jc w:val="both"/>
        <w:outlineLvl w:val="0"/>
        <w:rPr>
          <w:rFonts w:ascii="Calibri" w:eastAsia="Times New Roman" w:hAnsi="Calibri" w:cs="Arial"/>
          <w:color w:val="000000"/>
          <w:lang w:eastAsia="en-GB"/>
        </w:rPr>
      </w:pPr>
      <w:r>
        <w:rPr>
          <w:rFonts w:ascii="Calibri" w:eastAsia="Times New Roman" w:hAnsi="Calibri" w:cs="Arial"/>
          <w:lang w:eastAsia="en-GB"/>
        </w:rPr>
        <w:tab/>
      </w:r>
      <w:r w:rsidR="00730CC8" w:rsidRPr="0011040B">
        <w:rPr>
          <w:rFonts w:ascii="Calibri" w:eastAsia="Times New Roman" w:hAnsi="Calibri" w:cs="Arial"/>
          <w:lang w:eastAsia="en-GB"/>
        </w:rPr>
        <w:t>N/A</w:t>
      </w:r>
      <w:r>
        <w:rPr>
          <w:rFonts w:ascii="Calibri" w:eastAsia="Times New Roman" w:hAnsi="Calibri" w:cs="Arial"/>
          <w:lang w:eastAsia="en-GB"/>
        </w:rPr>
        <w:t>.</w:t>
      </w:r>
      <w:r w:rsidR="00EC47CF" w:rsidRPr="0011040B">
        <w:rPr>
          <w:rFonts w:ascii="Calibri" w:eastAsia="Times New Roman" w:hAnsi="Calibri" w:cs="Arial"/>
          <w:lang w:eastAsia="en-GB"/>
        </w:rPr>
        <w:br/>
      </w:r>
    </w:p>
    <w:p w:rsidR="00EC47CF" w:rsidRPr="00166531" w:rsidRDefault="00EC47CF" w:rsidP="0011040B">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166531">
        <w:rPr>
          <w:rFonts w:ascii="Calibri" w:eastAsia="Times New Roman" w:hAnsi="Calibri" w:cs="Arial"/>
          <w:b/>
          <w:color w:val="000000"/>
          <w:lang w:eastAsia="en-GB"/>
        </w:rPr>
        <w:t>FINANCIAL IMPLICATIONS</w:t>
      </w:r>
    </w:p>
    <w:p w:rsidR="00730CC8" w:rsidRPr="00166531" w:rsidRDefault="0011040B" w:rsidP="0011040B">
      <w:pPr>
        <w:spacing w:after="0" w:line="240" w:lineRule="auto"/>
        <w:ind w:left="567" w:right="-46" w:hanging="567"/>
        <w:jc w:val="both"/>
        <w:outlineLvl w:val="0"/>
        <w:rPr>
          <w:rFonts w:ascii="Calibri" w:eastAsia="Times New Roman" w:hAnsi="Calibri" w:cs="Arial"/>
          <w:color w:val="000000"/>
          <w:lang w:eastAsia="en-GB"/>
        </w:rPr>
      </w:pPr>
      <w:r>
        <w:rPr>
          <w:rFonts w:ascii="Calibri" w:eastAsia="Times New Roman" w:hAnsi="Calibri" w:cs="Arial"/>
          <w:color w:val="000000"/>
          <w:lang w:eastAsia="en-GB"/>
        </w:rPr>
        <w:tab/>
      </w:r>
      <w:r w:rsidR="00730CC8" w:rsidRPr="00166531">
        <w:rPr>
          <w:rFonts w:ascii="Calibri" w:eastAsia="Times New Roman" w:hAnsi="Calibri" w:cs="Arial"/>
          <w:color w:val="000000"/>
          <w:lang w:eastAsia="en-GB"/>
        </w:rPr>
        <w:t>Inability to achieve SFC credit targets could result in loss of income to New College Lanarkshire.</w:t>
      </w:r>
    </w:p>
    <w:p w:rsidR="005448D5" w:rsidRPr="00166531" w:rsidRDefault="005448D5" w:rsidP="0011040B">
      <w:pPr>
        <w:spacing w:after="0" w:line="240" w:lineRule="auto"/>
        <w:ind w:left="567" w:right="386" w:hanging="567"/>
        <w:jc w:val="both"/>
        <w:outlineLvl w:val="0"/>
        <w:rPr>
          <w:rFonts w:ascii="Calibri" w:eastAsia="Times New Roman" w:hAnsi="Calibri" w:cs="Arial"/>
          <w:color w:val="000000"/>
          <w:lang w:eastAsia="en-GB"/>
        </w:rPr>
      </w:pPr>
    </w:p>
    <w:p w:rsidR="00EC47CF" w:rsidRPr="00166531" w:rsidRDefault="00EC47CF" w:rsidP="0011040B">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166531">
        <w:rPr>
          <w:rFonts w:ascii="Calibri" w:eastAsia="Times New Roman" w:hAnsi="Calibri" w:cs="Arial"/>
          <w:b/>
          <w:color w:val="000000"/>
          <w:lang w:eastAsia="en-GB"/>
        </w:rPr>
        <w:t>LEGAL IMPLICATIONS</w:t>
      </w:r>
    </w:p>
    <w:p w:rsidR="00EC47CF" w:rsidRPr="00166531" w:rsidRDefault="0011040B" w:rsidP="0011040B">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166531">
        <w:rPr>
          <w:rFonts w:ascii="Calibri" w:eastAsia="Times New Roman" w:hAnsi="Calibri" w:cs="Arial"/>
          <w:lang w:eastAsia="en-GB"/>
        </w:rPr>
        <w:t>There are no legal implications</w:t>
      </w:r>
      <w:r w:rsidR="00FD40A5" w:rsidRPr="00166531">
        <w:rPr>
          <w:rFonts w:ascii="Calibri" w:eastAsia="Times New Roman" w:hAnsi="Calibri" w:cs="Arial"/>
          <w:lang w:eastAsia="en-GB"/>
        </w:rPr>
        <w:t>.</w:t>
      </w:r>
    </w:p>
    <w:p w:rsidR="00EC47CF" w:rsidRPr="00166531" w:rsidRDefault="00EC47CF" w:rsidP="0011040B">
      <w:pPr>
        <w:spacing w:after="0" w:line="240" w:lineRule="auto"/>
        <w:ind w:left="567" w:right="386" w:hanging="567"/>
        <w:jc w:val="both"/>
        <w:rPr>
          <w:rFonts w:ascii="Calibri" w:eastAsia="Times New Roman" w:hAnsi="Calibri" w:cs="Arial"/>
          <w:lang w:eastAsia="en-GB"/>
        </w:rPr>
      </w:pPr>
    </w:p>
    <w:p w:rsidR="00EC47CF" w:rsidRPr="00166531" w:rsidRDefault="00EC47CF" w:rsidP="0011040B">
      <w:pPr>
        <w:numPr>
          <w:ilvl w:val="0"/>
          <w:numId w:val="2"/>
        </w:numPr>
        <w:spacing w:after="0" w:line="240" w:lineRule="auto"/>
        <w:ind w:left="567" w:hanging="567"/>
        <w:jc w:val="both"/>
        <w:rPr>
          <w:rFonts w:ascii="Calibri" w:eastAsia="Times New Roman" w:hAnsi="Calibri" w:cs="Arial"/>
          <w:b/>
        </w:rPr>
      </w:pPr>
      <w:r w:rsidRPr="00166531">
        <w:rPr>
          <w:rFonts w:ascii="Calibri" w:eastAsia="Times New Roman" w:hAnsi="Calibri" w:cs="Arial"/>
          <w:b/>
        </w:rPr>
        <w:t>WORKFORCE IMPLICATIONS</w:t>
      </w:r>
    </w:p>
    <w:p w:rsidR="00730CC8" w:rsidRPr="00166531" w:rsidRDefault="0011040B" w:rsidP="0011040B">
      <w:pPr>
        <w:spacing w:after="0" w:line="240" w:lineRule="auto"/>
        <w:ind w:left="567" w:hanging="567"/>
        <w:jc w:val="both"/>
        <w:rPr>
          <w:rFonts w:ascii="Calibri" w:eastAsia="Times New Roman" w:hAnsi="Calibri" w:cs="Arial"/>
        </w:rPr>
      </w:pPr>
      <w:r>
        <w:rPr>
          <w:rFonts w:ascii="Calibri" w:eastAsia="Times New Roman" w:hAnsi="Calibri" w:cs="Arial"/>
        </w:rPr>
        <w:tab/>
      </w:r>
      <w:r w:rsidR="00730CC8" w:rsidRPr="00166531">
        <w:rPr>
          <w:rFonts w:ascii="Calibri" w:eastAsia="Times New Roman" w:hAnsi="Calibri" w:cs="Arial"/>
        </w:rPr>
        <w:t>There are no workforce implications</w:t>
      </w:r>
      <w:r>
        <w:rPr>
          <w:rFonts w:ascii="Calibri" w:eastAsia="Times New Roman" w:hAnsi="Calibri" w:cs="Arial"/>
        </w:rPr>
        <w:t>.</w:t>
      </w:r>
    </w:p>
    <w:p w:rsidR="005B1FB5" w:rsidRPr="00166531" w:rsidRDefault="005B1FB5" w:rsidP="0011040B">
      <w:pPr>
        <w:spacing w:after="0" w:line="240" w:lineRule="auto"/>
        <w:ind w:left="567" w:hanging="567"/>
        <w:jc w:val="both"/>
        <w:rPr>
          <w:rFonts w:ascii="Calibri" w:eastAsia="Times New Roman" w:hAnsi="Calibri" w:cs="Arial"/>
        </w:rPr>
      </w:pPr>
    </w:p>
    <w:p w:rsidR="00EC47CF" w:rsidRPr="00166531" w:rsidRDefault="00EC47CF" w:rsidP="0011040B">
      <w:pPr>
        <w:numPr>
          <w:ilvl w:val="0"/>
          <w:numId w:val="2"/>
        </w:numPr>
        <w:spacing w:after="0" w:line="240" w:lineRule="auto"/>
        <w:ind w:left="567" w:hanging="567"/>
        <w:jc w:val="both"/>
        <w:rPr>
          <w:rFonts w:ascii="Calibri" w:eastAsia="Times New Roman" w:hAnsi="Calibri" w:cs="Arial"/>
          <w:b/>
        </w:rPr>
      </w:pPr>
      <w:r w:rsidRPr="00166531">
        <w:rPr>
          <w:rFonts w:ascii="Calibri" w:eastAsia="Times New Roman" w:hAnsi="Calibri" w:cs="Arial"/>
          <w:b/>
        </w:rPr>
        <w:t xml:space="preserve">REPUTATIONAL IMPLICATIONS </w:t>
      </w:r>
    </w:p>
    <w:p w:rsidR="00730CC8" w:rsidRPr="00166531" w:rsidRDefault="0011040B" w:rsidP="0011040B">
      <w:pPr>
        <w:spacing w:after="0" w:line="240" w:lineRule="auto"/>
        <w:ind w:left="567" w:hanging="567"/>
        <w:jc w:val="both"/>
        <w:rPr>
          <w:rFonts w:ascii="Calibri" w:eastAsia="Times New Roman" w:hAnsi="Calibri" w:cs="Arial"/>
        </w:rPr>
      </w:pPr>
      <w:r>
        <w:rPr>
          <w:rFonts w:ascii="Calibri" w:eastAsia="Times New Roman" w:hAnsi="Calibri" w:cs="Arial"/>
        </w:rPr>
        <w:tab/>
      </w:r>
      <w:r w:rsidR="00730CC8" w:rsidRPr="00166531">
        <w:rPr>
          <w:rFonts w:ascii="Calibri" w:eastAsia="Times New Roman" w:hAnsi="Calibri" w:cs="Arial"/>
        </w:rPr>
        <w:t>There are no reputational implications</w:t>
      </w:r>
      <w:r>
        <w:rPr>
          <w:rFonts w:ascii="Calibri" w:eastAsia="Times New Roman" w:hAnsi="Calibri" w:cs="Arial"/>
        </w:rPr>
        <w:t>.</w:t>
      </w:r>
    </w:p>
    <w:p w:rsidR="005B1FB5" w:rsidRPr="00166531" w:rsidRDefault="005B1FB5" w:rsidP="0011040B">
      <w:pPr>
        <w:spacing w:after="0" w:line="240" w:lineRule="auto"/>
        <w:ind w:left="567" w:hanging="567"/>
        <w:jc w:val="both"/>
        <w:rPr>
          <w:rFonts w:ascii="Calibri" w:eastAsia="Times New Roman" w:hAnsi="Calibri" w:cs="Arial"/>
          <w:b/>
        </w:rPr>
      </w:pPr>
    </w:p>
    <w:p w:rsidR="00EC47CF" w:rsidRPr="00166531" w:rsidRDefault="00EC47CF" w:rsidP="0011040B">
      <w:pPr>
        <w:numPr>
          <w:ilvl w:val="0"/>
          <w:numId w:val="2"/>
        </w:numPr>
        <w:spacing w:after="0" w:line="240" w:lineRule="auto"/>
        <w:ind w:left="567" w:hanging="567"/>
        <w:jc w:val="both"/>
        <w:rPr>
          <w:rFonts w:ascii="Calibri" w:eastAsia="Times New Roman" w:hAnsi="Calibri" w:cs="Arial"/>
          <w:b/>
          <w:color w:val="000000"/>
        </w:rPr>
      </w:pPr>
      <w:r w:rsidRPr="00166531">
        <w:rPr>
          <w:rFonts w:ascii="Calibri" w:eastAsia="Times New Roman" w:hAnsi="Calibri" w:cs="Arial"/>
          <w:b/>
        </w:rPr>
        <w:t>EQUALITIES IMPLICATIONS</w:t>
      </w:r>
    </w:p>
    <w:p w:rsidR="00EC47CF" w:rsidRPr="00166531" w:rsidRDefault="0011040B" w:rsidP="0011040B">
      <w:pPr>
        <w:suppressAutoHyphens/>
        <w:spacing w:after="0" w:line="240" w:lineRule="auto"/>
        <w:ind w:left="567" w:right="-46" w:hanging="567"/>
        <w:jc w:val="both"/>
        <w:rPr>
          <w:rFonts w:ascii="Calibri" w:eastAsia="Times New Roman" w:hAnsi="Calibri" w:cs="Arial"/>
          <w:lang w:eastAsia="en-GB"/>
        </w:rPr>
      </w:pPr>
      <w:r>
        <w:rPr>
          <w:rFonts w:ascii="Calibri" w:eastAsia="Times New Roman" w:hAnsi="Calibri" w:cs="Arial"/>
          <w:lang w:eastAsia="en-GB"/>
        </w:rPr>
        <w:tab/>
      </w:r>
      <w:r w:rsidR="00730CC8" w:rsidRPr="00166531">
        <w:rPr>
          <w:rFonts w:ascii="Calibri" w:eastAsia="Times New Roman" w:hAnsi="Calibri" w:cs="Arial"/>
          <w:lang w:eastAsia="en-GB"/>
        </w:rPr>
        <w:t>There are no equality implications</w:t>
      </w:r>
      <w:r>
        <w:rPr>
          <w:rFonts w:ascii="Calibri" w:eastAsia="Times New Roman" w:hAnsi="Calibri" w:cs="Arial"/>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EC47CF" w:rsidRPr="00166531" w:rsidTr="0011040B">
        <w:tc>
          <w:tcPr>
            <w:tcW w:w="9067" w:type="dxa"/>
          </w:tcPr>
          <w:p w:rsidR="00EC47CF" w:rsidRPr="00166531" w:rsidRDefault="00EC47CF" w:rsidP="0011040B">
            <w:pPr>
              <w:spacing w:after="0" w:line="240" w:lineRule="auto"/>
              <w:jc w:val="both"/>
              <w:rPr>
                <w:rFonts w:ascii="Calibri" w:eastAsia="Times New Roman" w:hAnsi="Calibri" w:cs="Arial"/>
                <w:b/>
                <w:color w:val="000000"/>
                <w:lang w:eastAsia="en-GB"/>
              </w:rPr>
            </w:pPr>
            <w:r w:rsidRPr="00166531">
              <w:rPr>
                <w:rFonts w:ascii="Calibri" w:eastAsia="Times New Roman" w:hAnsi="Calibri" w:cs="Arial"/>
                <w:b/>
                <w:color w:val="000000"/>
                <w:lang w:eastAsia="en-GB"/>
              </w:rPr>
              <w:t>CONCLUSIONS/RECOMMENDATIONS</w:t>
            </w:r>
          </w:p>
          <w:p w:rsidR="00EC47CF" w:rsidRPr="00166531" w:rsidRDefault="00EC47CF" w:rsidP="0011040B">
            <w:pPr>
              <w:spacing w:after="0" w:line="240" w:lineRule="auto"/>
              <w:jc w:val="both"/>
              <w:rPr>
                <w:rFonts w:ascii="Calibri" w:eastAsia="Times New Roman" w:hAnsi="Calibri" w:cs="Arial"/>
                <w:lang w:eastAsia="en-GB"/>
              </w:rPr>
            </w:pPr>
            <w:r w:rsidRPr="00166531">
              <w:rPr>
                <w:rFonts w:ascii="Calibri" w:eastAsia="Times New Roman" w:hAnsi="Calibri" w:cs="Arial"/>
                <w:color w:val="000000"/>
                <w:lang w:eastAsia="en-GB"/>
              </w:rPr>
              <w:t>CSAO are asked to note the information contained in this report and raise or discuss any issues which may prevent publication.</w:t>
            </w:r>
          </w:p>
        </w:tc>
      </w:tr>
    </w:tbl>
    <w:p w:rsidR="00BB59FA" w:rsidRDefault="00EC47CF" w:rsidP="0011040B">
      <w:pPr>
        <w:pStyle w:val="Heading3"/>
        <w:spacing w:before="0" w:line="240" w:lineRule="auto"/>
        <w:ind w:left="567" w:hanging="567"/>
        <w:rPr>
          <w:rFonts w:eastAsia="Calibri"/>
        </w:rPr>
      </w:pPr>
      <w:r w:rsidRPr="00166531">
        <w:rPr>
          <w:rFonts w:eastAsia="Calibri"/>
        </w:rPr>
        <w:br w:type="page"/>
      </w:r>
    </w:p>
    <w:p w:rsidR="00BB59FA" w:rsidRDefault="00BB59FA" w:rsidP="0011040B">
      <w:pPr>
        <w:pStyle w:val="Heading3"/>
        <w:spacing w:before="0" w:line="240" w:lineRule="auto"/>
        <w:ind w:left="567" w:hanging="567"/>
        <w:rPr>
          <w:b/>
        </w:rPr>
      </w:pPr>
    </w:p>
    <w:p w:rsidR="006707C7" w:rsidRPr="00166531" w:rsidRDefault="006707C7" w:rsidP="0011040B">
      <w:pPr>
        <w:pStyle w:val="Heading3"/>
        <w:spacing w:before="0" w:line="240" w:lineRule="auto"/>
        <w:ind w:left="567" w:hanging="567"/>
        <w:rPr>
          <w:b/>
        </w:rPr>
      </w:pPr>
      <w:r w:rsidRPr="00166531">
        <w:rPr>
          <w:b/>
        </w:rPr>
        <w:t>1.</w:t>
      </w:r>
      <w:r w:rsidRPr="00166531">
        <w:rPr>
          <w:b/>
        </w:rPr>
        <w:tab/>
        <w:t>INTRODUCTION</w:t>
      </w:r>
    </w:p>
    <w:p w:rsidR="006707C7" w:rsidRPr="00166531" w:rsidRDefault="006707C7" w:rsidP="005C1EC8">
      <w:pPr>
        <w:spacing w:after="0" w:line="240" w:lineRule="auto"/>
        <w:ind w:left="567" w:hanging="567"/>
      </w:pPr>
    </w:p>
    <w:p w:rsidR="00DA4547" w:rsidRDefault="006707C7" w:rsidP="005C1EC8">
      <w:pPr>
        <w:pStyle w:val="ListParagraph"/>
        <w:numPr>
          <w:ilvl w:val="1"/>
          <w:numId w:val="18"/>
        </w:numPr>
        <w:spacing w:after="0" w:line="240" w:lineRule="auto"/>
        <w:ind w:left="567" w:hanging="567"/>
        <w:jc w:val="both"/>
      </w:pPr>
      <w:r w:rsidRPr="00166531">
        <w:t xml:space="preserve">This paper seeks </w:t>
      </w:r>
      <w:r w:rsidR="00D41429" w:rsidRPr="00166531">
        <w:t>to</w:t>
      </w:r>
      <w:r w:rsidRPr="00166531">
        <w:t xml:space="preserve"> provide an update on the </w:t>
      </w:r>
      <w:r w:rsidR="00D41429" w:rsidRPr="00166531">
        <w:t>credit target for academic year 2023</w:t>
      </w:r>
      <w:r w:rsidR="0011040B">
        <w:t>-2024</w:t>
      </w:r>
      <w:r w:rsidR="00D41429" w:rsidRPr="00166531">
        <w:t>, recruitment</w:t>
      </w:r>
      <w:r w:rsidR="003612D6" w:rsidRPr="00166531">
        <w:t>, retention</w:t>
      </w:r>
      <w:r w:rsidR="00CE5A1D" w:rsidRPr="00166531">
        <w:t>, the indicative funding allocation for 202</w:t>
      </w:r>
      <w:r w:rsidR="00794B29" w:rsidRPr="00166531">
        <w:t>4</w:t>
      </w:r>
      <w:r w:rsidR="00CE5A1D" w:rsidRPr="00166531">
        <w:t>-2</w:t>
      </w:r>
      <w:r w:rsidR="00990212">
        <w:t>02</w:t>
      </w:r>
      <w:r w:rsidR="00794B29" w:rsidRPr="00166531">
        <w:t xml:space="preserve">5 </w:t>
      </w:r>
      <w:r w:rsidR="00CE5A1D" w:rsidRPr="00166531">
        <w:t>and a</w:t>
      </w:r>
      <w:r w:rsidR="00794B29" w:rsidRPr="00166531">
        <w:t xml:space="preserve"> synopsis</w:t>
      </w:r>
      <w:r w:rsidR="00CE5A1D" w:rsidRPr="00166531">
        <w:t xml:space="preserve"> of learning, teaching and alternative funding activity</w:t>
      </w:r>
      <w:r w:rsidR="00794B29" w:rsidRPr="00166531">
        <w:t>.</w:t>
      </w:r>
    </w:p>
    <w:p w:rsidR="0011040B" w:rsidRPr="00166531" w:rsidRDefault="0011040B" w:rsidP="005C1EC8">
      <w:pPr>
        <w:pStyle w:val="ListParagraph"/>
        <w:spacing w:after="0" w:line="240" w:lineRule="auto"/>
        <w:ind w:left="567" w:hanging="567"/>
        <w:jc w:val="both"/>
      </w:pPr>
    </w:p>
    <w:p w:rsidR="00E00AB3" w:rsidRPr="00990212" w:rsidRDefault="00E00AB3" w:rsidP="005C1EC8">
      <w:pPr>
        <w:pStyle w:val="Heading3"/>
        <w:spacing w:before="0" w:line="240" w:lineRule="auto"/>
        <w:ind w:left="567" w:hanging="567"/>
        <w:rPr>
          <w:b/>
        </w:rPr>
      </w:pPr>
      <w:r w:rsidRPr="00990212">
        <w:rPr>
          <w:b/>
        </w:rPr>
        <w:t>2.</w:t>
      </w:r>
      <w:r w:rsidRPr="00990212">
        <w:rPr>
          <w:b/>
        </w:rPr>
        <w:tab/>
        <w:t>CREDIT</w:t>
      </w:r>
      <w:r w:rsidR="007413B0" w:rsidRPr="00990212">
        <w:rPr>
          <w:b/>
        </w:rPr>
        <w:t xml:space="preserve">, </w:t>
      </w:r>
      <w:r w:rsidRPr="00990212">
        <w:rPr>
          <w:b/>
        </w:rPr>
        <w:t xml:space="preserve">RECRUITMENT </w:t>
      </w:r>
      <w:r w:rsidR="00182A5F" w:rsidRPr="00990212">
        <w:rPr>
          <w:b/>
        </w:rPr>
        <w:t xml:space="preserve">AND RETENTION </w:t>
      </w:r>
      <w:r w:rsidRPr="00990212">
        <w:rPr>
          <w:b/>
        </w:rPr>
        <w:t>2023</w:t>
      </w:r>
      <w:r w:rsidR="00990212">
        <w:rPr>
          <w:b/>
        </w:rPr>
        <w:t>-2024</w:t>
      </w:r>
    </w:p>
    <w:p w:rsidR="00805AFC" w:rsidRPr="00166531" w:rsidRDefault="00805AFC" w:rsidP="005C1EC8">
      <w:pPr>
        <w:pStyle w:val="Default"/>
        <w:ind w:left="567" w:hanging="567"/>
        <w:rPr>
          <w:sz w:val="22"/>
          <w:szCs w:val="22"/>
        </w:rPr>
      </w:pPr>
    </w:p>
    <w:p w:rsidR="00897023" w:rsidRPr="00166531" w:rsidRDefault="00D9530B" w:rsidP="005C1EC8">
      <w:pPr>
        <w:pStyle w:val="Default"/>
        <w:ind w:left="567" w:hanging="567"/>
        <w:jc w:val="both"/>
        <w:rPr>
          <w:rFonts w:asciiTheme="minorHAnsi" w:hAnsiTheme="minorHAnsi" w:cstheme="minorHAnsi"/>
          <w:sz w:val="22"/>
          <w:szCs w:val="22"/>
        </w:rPr>
      </w:pPr>
      <w:r w:rsidRPr="00166531">
        <w:rPr>
          <w:rFonts w:asciiTheme="minorHAnsi" w:hAnsiTheme="minorHAnsi" w:cstheme="minorHAnsi"/>
          <w:sz w:val="22"/>
          <w:szCs w:val="22"/>
        </w:rPr>
        <w:t>2.1</w:t>
      </w:r>
      <w:r w:rsidRPr="00166531">
        <w:rPr>
          <w:rFonts w:asciiTheme="minorHAnsi" w:hAnsiTheme="minorHAnsi" w:cstheme="minorHAnsi"/>
          <w:sz w:val="22"/>
          <w:szCs w:val="22"/>
        </w:rPr>
        <w:tab/>
        <w:t>For academic year 2023</w:t>
      </w:r>
      <w:r w:rsidR="005045F1" w:rsidRPr="00166531">
        <w:rPr>
          <w:rFonts w:asciiTheme="minorHAnsi" w:hAnsiTheme="minorHAnsi" w:cstheme="minorHAnsi"/>
          <w:sz w:val="22"/>
          <w:szCs w:val="22"/>
        </w:rPr>
        <w:t>–</w:t>
      </w:r>
      <w:r w:rsidR="00990212">
        <w:rPr>
          <w:rFonts w:asciiTheme="minorHAnsi" w:hAnsiTheme="minorHAnsi" w:cstheme="minorHAnsi"/>
          <w:sz w:val="22"/>
          <w:szCs w:val="22"/>
        </w:rPr>
        <w:t>20</w:t>
      </w:r>
      <w:r w:rsidRPr="00166531">
        <w:rPr>
          <w:rFonts w:asciiTheme="minorHAnsi" w:hAnsiTheme="minorHAnsi" w:cstheme="minorHAnsi"/>
          <w:sz w:val="22"/>
          <w:szCs w:val="22"/>
        </w:rPr>
        <w:t>24</w:t>
      </w:r>
      <w:r w:rsidR="005045F1" w:rsidRPr="00166531">
        <w:rPr>
          <w:rFonts w:asciiTheme="minorHAnsi" w:hAnsiTheme="minorHAnsi" w:cstheme="minorHAnsi"/>
          <w:sz w:val="22"/>
          <w:szCs w:val="22"/>
        </w:rPr>
        <w:t xml:space="preserve">, New College Lanarkshire </w:t>
      </w:r>
      <w:r w:rsidR="007413B0" w:rsidRPr="00166531">
        <w:rPr>
          <w:rFonts w:asciiTheme="minorHAnsi" w:hAnsiTheme="minorHAnsi" w:cstheme="minorHAnsi"/>
          <w:sz w:val="22"/>
          <w:szCs w:val="22"/>
        </w:rPr>
        <w:t xml:space="preserve">was </w:t>
      </w:r>
      <w:r w:rsidR="005045F1" w:rsidRPr="00166531">
        <w:rPr>
          <w:rFonts w:asciiTheme="minorHAnsi" w:hAnsiTheme="minorHAnsi" w:cstheme="minorHAnsi"/>
          <w:sz w:val="22"/>
          <w:szCs w:val="22"/>
        </w:rPr>
        <w:t xml:space="preserve">allocated a core credit of 117,290.  Foundation Apprenticeships </w:t>
      </w:r>
      <w:r w:rsidR="009C7333" w:rsidRPr="00166531">
        <w:rPr>
          <w:rFonts w:asciiTheme="minorHAnsi" w:hAnsiTheme="minorHAnsi" w:cstheme="minorHAnsi"/>
          <w:sz w:val="22"/>
          <w:szCs w:val="22"/>
        </w:rPr>
        <w:t xml:space="preserve">were </w:t>
      </w:r>
      <w:r w:rsidR="005045F1" w:rsidRPr="00166531">
        <w:rPr>
          <w:rFonts w:asciiTheme="minorHAnsi" w:hAnsiTheme="minorHAnsi" w:cstheme="minorHAnsi"/>
          <w:sz w:val="22"/>
          <w:szCs w:val="22"/>
        </w:rPr>
        <w:t xml:space="preserve">no longer allocated as additional credits and </w:t>
      </w:r>
      <w:r w:rsidR="00F17DBB" w:rsidRPr="00166531">
        <w:rPr>
          <w:rFonts w:asciiTheme="minorHAnsi" w:hAnsiTheme="minorHAnsi" w:cstheme="minorHAnsi"/>
          <w:sz w:val="22"/>
          <w:szCs w:val="22"/>
        </w:rPr>
        <w:t xml:space="preserve">this activity was </w:t>
      </w:r>
      <w:r w:rsidR="005045F1" w:rsidRPr="00166531">
        <w:rPr>
          <w:rFonts w:asciiTheme="minorHAnsi" w:hAnsiTheme="minorHAnsi" w:cstheme="minorHAnsi"/>
          <w:sz w:val="22"/>
          <w:szCs w:val="22"/>
        </w:rPr>
        <w:t>incorporated into core funding targets</w:t>
      </w:r>
      <w:r w:rsidR="00990212">
        <w:rPr>
          <w:rFonts w:asciiTheme="minorHAnsi" w:hAnsiTheme="minorHAnsi" w:cstheme="minorHAnsi"/>
          <w:sz w:val="22"/>
          <w:szCs w:val="22"/>
        </w:rPr>
        <w:t xml:space="preserve">.  </w:t>
      </w:r>
      <w:r w:rsidR="005045F1" w:rsidRPr="00166531">
        <w:rPr>
          <w:rFonts w:asciiTheme="minorHAnsi" w:hAnsiTheme="minorHAnsi" w:cstheme="minorHAnsi"/>
          <w:sz w:val="22"/>
          <w:szCs w:val="22"/>
        </w:rPr>
        <w:t xml:space="preserve">At the time of writing this report in </w:t>
      </w:r>
      <w:r w:rsidR="007413B0" w:rsidRPr="00166531">
        <w:rPr>
          <w:rFonts w:asciiTheme="minorHAnsi" w:hAnsiTheme="minorHAnsi" w:cstheme="minorHAnsi"/>
          <w:sz w:val="22"/>
          <w:szCs w:val="22"/>
        </w:rPr>
        <w:t xml:space="preserve">August </w:t>
      </w:r>
      <w:r w:rsidR="005045F1" w:rsidRPr="00166531">
        <w:rPr>
          <w:rFonts w:asciiTheme="minorHAnsi" w:hAnsiTheme="minorHAnsi" w:cstheme="minorHAnsi"/>
          <w:sz w:val="22"/>
          <w:szCs w:val="22"/>
        </w:rPr>
        <w:t xml:space="preserve">2024, </w:t>
      </w:r>
      <w:r w:rsidR="00897023" w:rsidRPr="00166531">
        <w:rPr>
          <w:rFonts w:asciiTheme="minorHAnsi" w:hAnsiTheme="minorHAnsi" w:cstheme="minorHAnsi"/>
          <w:sz w:val="22"/>
          <w:szCs w:val="22"/>
        </w:rPr>
        <w:t xml:space="preserve">student enrolments had given the college </w:t>
      </w:r>
      <w:r w:rsidR="00A46CEB" w:rsidRPr="00166531">
        <w:rPr>
          <w:rFonts w:asciiTheme="minorHAnsi" w:hAnsiTheme="minorHAnsi" w:cstheme="minorHAnsi"/>
          <w:sz w:val="22"/>
          <w:szCs w:val="22"/>
        </w:rPr>
        <w:t xml:space="preserve">117,577 </w:t>
      </w:r>
      <w:r w:rsidR="005045F1" w:rsidRPr="00166531">
        <w:rPr>
          <w:rFonts w:asciiTheme="minorHAnsi" w:hAnsiTheme="minorHAnsi" w:cstheme="minorHAnsi"/>
          <w:sz w:val="22"/>
          <w:szCs w:val="22"/>
        </w:rPr>
        <w:t>credits</w:t>
      </w:r>
      <w:r w:rsidR="00897023" w:rsidRPr="00166531">
        <w:rPr>
          <w:rFonts w:asciiTheme="minorHAnsi" w:hAnsiTheme="minorHAnsi" w:cstheme="minorHAnsi"/>
          <w:sz w:val="22"/>
          <w:szCs w:val="22"/>
        </w:rPr>
        <w:t xml:space="preserve">.  </w:t>
      </w:r>
    </w:p>
    <w:p w:rsidR="00D60699" w:rsidRPr="00166531" w:rsidRDefault="00D60699" w:rsidP="005C1EC8">
      <w:pPr>
        <w:pStyle w:val="Default"/>
        <w:ind w:left="567" w:hanging="567"/>
        <w:jc w:val="both"/>
        <w:rPr>
          <w:rFonts w:asciiTheme="minorHAnsi" w:hAnsiTheme="minorHAnsi" w:cstheme="minorHAnsi"/>
          <w:sz w:val="22"/>
          <w:szCs w:val="22"/>
        </w:rPr>
      </w:pPr>
    </w:p>
    <w:p w:rsidR="00D60699" w:rsidRPr="00166531" w:rsidRDefault="00D60699" w:rsidP="005C1EC8">
      <w:pPr>
        <w:pStyle w:val="Default"/>
        <w:ind w:left="567" w:hanging="567"/>
        <w:jc w:val="both"/>
        <w:rPr>
          <w:rFonts w:asciiTheme="minorHAnsi" w:hAnsiTheme="minorHAnsi" w:cstheme="minorHAnsi"/>
          <w:sz w:val="22"/>
          <w:szCs w:val="22"/>
        </w:rPr>
      </w:pPr>
      <w:r w:rsidRPr="00166531">
        <w:rPr>
          <w:rFonts w:asciiTheme="minorHAnsi" w:hAnsiTheme="minorHAnsi" w:cstheme="minorHAnsi"/>
          <w:sz w:val="22"/>
          <w:szCs w:val="22"/>
        </w:rPr>
        <w:t>2.3</w:t>
      </w:r>
      <w:r w:rsidRPr="00166531">
        <w:rPr>
          <w:rFonts w:asciiTheme="minorHAnsi" w:hAnsiTheme="minorHAnsi" w:cstheme="minorHAnsi"/>
          <w:sz w:val="22"/>
          <w:szCs w:val="22"/>
        </w:rPr>
        <w:tab/>
        <w:t>Credit</w:t>
      </w:r>
      <w:r w:rsidR="00182A5F" w:rsidRPr="00166531">
        <w:rPr>
          <w:rFonts w:asciiTheme="minorHAnsi" w:hAnsiTheme="minorHAnsi" w:cstheme="minorHAnsi"/>
          <w:sz w:val="22"/>
          <w:szCs w:val="22"/>
        </w:rPr>
        <w:t xml:space="preserve"> </w:t>
      </w:r>
      <w:r w:rsidRPr="00166531">
        <w:rPr>
          <w:rFonts w:asciiTheme="minorHAnsi" w:hAnsiTheme="minorHAnsi" w:cstheme="minorHAnsi"/>
          <w:sz w:val="22"/>
          <w:szCs w:val="22"/>
        </w:rPr>
        <w:t>and Performance Monitoring Report</w:t>
      </w:r>
      <w:r w:rsidR="00182A5F" w:rsidRPr="00166531">
        <w:rPr>
          <w:rFonts w:asciiTheme="minorHAnsi" w:hAnsiTheme="minorHAnsi" w:cstheme="minorHAnsi"/>
          <w:sz w:val="22"/>
          <w:szCs w:val="22"/>
        </w:rPr>
        <w:t xml:space="preserve"> </w:t>
      </w:r>
      <w:r w:rsidR="00F17DBB" w:rsidRPr="00166531">
        <w:rPr>
          <w:rFonts w:asciiTheme="minorHAnsi" w:hAnsiTheme="minorHAnsi" w:cstheme="minorHAnsi"/>
          <w:sz w:val="22"/>
          <w:szCs w:val="22"/>
        </w:rPr>
        <w:t xml:space="preserve">was </w:t>
      </w:r>
      <w:r w:rsidR="00182A5F" w:rsidRPr="00166531">
        <w:rPr>
          <w:rFonts w:asciiTheme="minorHAnsi" w:hAnsiTheme="minorHAnsi" w:cstheme="minorHAnsi"/>
          <w:sz w:val="22"/>
          <w:szCs w:val="22"/>
        </w:rPr>
        <w:t xml:space="preserve">reviewed weekly by the Executive Board and Deans. </w:t>
      </w:r>
    </w:p>
    <w:p w:rsidR="00F17DBB" w:rsidRPr="00166531" w:rsidRDefault="00F17DBB" w:rsidP="005C1EC8">
      <w:pPr>
        <w:pStyle w:val="Default"/>
        <w:ind w:left="567" w:hanging="567"/>
        <w:jc w:val="both"/>
        <w:rPr>
          <w:rFonts w:asciiTheme="minorHAnsi" w:hAnsiTheme="minorHAnsi" w:cstheme="minorHAnsi"/>
          <w:sz w:val="22"/>
          <w:szCs w:val="22"/>
        </w:rPr>
      </w:pPr>
    </w:p>
    <w:p w:rsidR="00F17DBB" w:rsidRPr="00166531" w:rsidRDefault="00F17DBB" w:rsidP="005C1EC8">
      <w:pPr>
        <w:pStyle w:val="Default"/>
        <w:ind w:left="567" w:hanging="567"/>
        <w:jc w:val="both"/>
        <w:rPr>
          <w:rFonts w:asciiTheme="minorHAnsi" w:hAnsiTheme="minorHAnsi" w:cstheme="minorHAnsi"/>
          <w:sz w:val="22"/>
          <w:szCs w:val="22"/>
        </w:rPr>
      </w:pPr>
      <w:r w:rsidRPr="00166531">
        <w:rPr>
          <w:rFonts w:asciiTheme="minorHAnsi" w:hAnsiTheme="minorHAnsi" w:cstheme="minorHAnsi"/>
          <w:sz w:val="22"/>
          <w:szCs w:val="22"/>
        </w:rPr>
        <w:t>2.4</w:t>
      </w:r>
      <w:r w:rsidRPr="00166531">
        <w:rPr>
          <w:rFonts w:asciiTheme="minorHAnsi" w:hAnsiTheme="minorHAnsi" w:cstheme="minorHAnsi"/>
          <w:sz w:val="22"/>
          <w:szCs w:val="22"/>
        </w:rPr>
        <w:tab/>
        <w:t>Subject to credit audit, the college has achieved the allocated credit target for session 2023-2</w:t>
      </w:r>
      <w:r w:rsidR="00990212">
        <w:rPr>
          <w:rFonts w:asciiTheme="minorHAnsi" w:hAnsiTheme="minorHAnsi" w:cstheme="minorHAnsi"/>
          <w:sz w:val="22"/>
          <w:szCs w:val="22"/>
        </w:rPr>
        <w:t>02</w:t>
      </w:r>
      <w:r w:rsidRPr="00166531">
        <w:rPr>
          <w:rFonts w:asciiTheme="minorHAnsi" w:hAnsiTheme="minorHAnsi" w:cstheme="minorHAnsi"/>
          <w:sz w:val="22"/>
          <w:szCs w:val="22"/>
        </w:rPr>
        <w:t>4.</w:t>
      </w:r>
    </w:p>
    <w:p w:rsidR="00430A25" w:rsidRPr="00166531" w:rsidRDefault="00430A25" w:rsidP="005C1EC8">
      <w:pPr>
        <w:pStyle w:val="Default"/>
        <w:ind w:left="567" w:hanging="567"/>
        <w:jc w:val="both"/>
        <w:rPr>
          <w:rFonts w:asciiTheme="minorHAnsi" w:hAnsiTheme="minorHAnsi" w:cstheme="minorHAnsi"/>
          <w:sz w:val="22"/>
          <w:szCs w:val="22"/>
        </w:rPr>
      </w:pPr>
    </w:p>
    <w:p w:rsidR="00805AFC" w:rsidRPr="00166531" w:rsidRDefault="006A34E1" w:rsidP="005C1EC8">
      <w:pPr>
        <w:pStyle w:val="Default"/>
        <w:ind w:left="567" w:hanging="567"/>
        <w:jc w:val="both"/>
        <w:rPr>
          <w:rFonts w:asciiTheme="minorHAnsi" w:hAnsiTheme="minorHAnsi" w:cstheme="minorHAnsi"/>
          <w:sz w:val="22"/>
          <w:szCs w:val="22"/>
        </w:rPr>
      </w:pPr>
      <w:r w:rsidRPr="00166531">
        <w:rPr>
          <w:rFonts w:asciiTheme="minorHAnsi" w:hAnsiTheme="minorHAnsi" w:cstheme="minorHAnsi"/>
          <w:sz w:val="22"/>
          <w:szCs w:val="22"/>
        </w:rPr>
        <w:t>2.5</w:t>
      </w:r>
      <w:r w:rsidRPr="00166531">
        <w:rPr>
          <w:rFonts w:asciiTheme="minorHAnsi" w:hAnsiTheme="minorHAnsi" w:cstheme="minorHAnsi"/>
          <w:sz w:val="22"/>
          <w:szCs w:val="22"/>
        </w:rPr>
        <w:tab/>
        <w:t xml:space="preserve">The table </w:t>
      </w:r>
      <w:r w:rsidR="000348F9" w:rsidRPr="00166531">
        <w:rPr>
          <w:rFonts w:asciiTheme="minorHAnsi" w:hAnsiTheme="minorHAnsi" w:cstheme="minorHAnsi"/>
          <w:sz w:val="22"/>
          <w:szCs w:val="22"/>
        </w:rPr>
        <w:t>below</w:t>
      </w:r>
      <w:r w:rsidRPr="00166531">
        <w:rPr>
          <w:rFonts w:asciiTheme="minorHAnsi" w:hAnsiTheme="minorHAnsi" w:cstheme="minorHAnsi"/>
          <w:sz w:val="22"/>
          <w:szCs w:val="22"/>
        </w:rPr>
        <w:t xml:space="preserve"> show the </w:t>
      </w:r>
      <w:r w:rsidR="00FE4BE1" w:rsidRPr="00166531">
        <w:rPr>
          <w:rFonts w:asciiTheme="minorHAnsi" w:hAnsiTheme="minorHAnsi" w:cstheme="minorHAnsi"/>
          <w:sz w:val="22"/>
          <w:szCs w:val="22"/>
        </w:rPr>
        <w:t>college position in relation to overall recruitment, early withdrawal and further on 31</w:t>
      </w:r>
      <w:r w:rsidR="00990212" w:rsidRPr="00990212">
        <w:rPr>
          <w:rFonts w:asciiTheme="minorHAnsi" w:hAnsiTheme="minorHAnsi" w:cstheme="minorHAnsi"/>
          <w:sz w:val="22"/>
          <w:szCs w:val="22"/>
          <w:vertAlign w:val="superscript"/>
        </w:rPr>
        <w:t>st</w:t>
      </w:r>
      <w:r w:rsidR="00990212">
        <w:rPr>
          <w:rFonts w:asciiTheme="minorHAnsi" w:hAnsiTheme="minorHAnsi" w:cstheme="minorHAnsi"/>
          <w:sz w:val="22"/>
          <w:szCs w:val="22"/>
        </w:rPr>
        <w:t xml:space="preserve"> </w:t>
      </w:r>
      <w:r w:rsidR="00FE4BE1" w:rsidRPr="00166531">
        <w:rPr>
          <w:rFonts w:asciiTheme="minorHAnsi" w:hAnsiTheme="minorHAnsi" w:cstheme="minorHAnsi"/>
          <w:sz w:val="22"/>
          <w:szCs w:val="22"/>
        </w:rPr>
        <w:t>J</w:t>
      </w:r>
      <w:r w:rsidR="00F17DBB" w:rsidRPr="00166531">
        <w:rPr>
          <w:rFonts w:asciiTheme="minorHAnsi" w:hAnsiTheme="minorHAnsi" w:cstheme="minorHAnsi"/>
          <w:sz w:val="22"/>
          <w:szCs w:val="22"/>
        </w:rPr>
        <w:t xml:space="preserve">uly </w:t>
      </w:r>
      <w:r w:rsidR="00FE4BE1" w:rsidRPr="00166531">
        <w:rPr>
          <w:rFonts w:asciiTheme="minorHAnsi" w:hAnsiTheme="minorHAnsi" w:cstheme="minorHAnsi"/>
          <w:sz w:val="22"/>
          <w:szCs w:val="22"/>
        </w:rPr>
        <w:t>2024</w:t>
      </w:r>
      <w:r w:rsidR="00990212">
        <w:rPr>
          <w:rFonts w:asciiTheme="minorHAnsi" w:hAnsiTheme="minorHAnsi" w:cstheme="minorHAnsi"/>
          <w:sz w:val="22"/>
          <w:szCs w:val="22"/>
        </w:rPr>
        <w:t xml:space="preserve">.  </w:t>
      </w:r>
      <w:r w:rsidR="00E944B5" w:rsidRPr="00166531">
        <w:rPr>
          <w:rFonts w:asciiTheme="minorHAnsi" w:hAnsiTheme="minorHAnsi" w:cstheme="minorHAnsi"/>
          <w:sz w:val="22"/>
          <w:szCs w:val="22"/>
        </w:rPr>
        <w:t>Appendix 2 summarises the position in relation to Departmental Credit and Retention on 31</w:t>
      </w:r>
      <w:r w:rsidR="00990212" w:rsidRPr="00990212">
        <w:rPr>
          <w:rFonts w:asciiTheme="minorHAnsi" w:hAnsiTheme="minorHAnsi" w:cstheme="minorHAnsi"/>
          <w:sz w:val="22"/>
          <w:szCs w:val="22"/>
          <w:vertAlign w:val="superscript"/>
        </w:rPr>
        <w:t>st</w:t>
      </w:r>
      <w:r w:rsidR="00990212">
        <w:rPr>
          <w:rFonts w:asciiTheme="minorHAnsi" w:hAnsiTheme="minorHAnsi" w:cstheme="minorHAnsi"/>
          <w:sz w:val="22"/>
          <w:szCs w:val="22"/>
        </w:rPr>
        <w:t xml:space="preserve"> </w:t>
      </w:r>
      <w:r w:rsidR="00F17DBB" w:rsidRPr="00166531">
        <w:rPr>
          <w:rFonts w:asciiTheme="minorHAnsi" w:hAnsiTheme="minorHAnsi" w:cstheme="minorHAnsi"/>
          <w:sz w:val="22"/>
          <w:szCs w:val="22"/>
        </w:rPr>
        <w:t>July 2024</w:t>
      </w:r>
      <w:r w:rsidR="00E944B5" w:rsidRPr="00166531">
        <w:rPr>
          <w:rFonts w:asciiTheme="minorHAnsi" w:hAnsiTheme="minorHAnsi" w:cstheme="minorHAnsi"/>
          <w:sz w:val="22"/>
          <w:szCs w:val="22"/>
        </w:rPr>
        <w:t>.</w:t>
      </w:r>
    </w:p>
    <w:p w:rsidR="00FE4BE1" w:rsidRPr="00166531" w:rsidRDefault="00FE4BE1" w:rsidP="005C1EC8">
      <w:pPr>
        <w:pStyle w:val="Default"/>
        <w:ind w:left="720" w:hanging="720"/>
        <w:rPr>
          <w:rFonts w:asciiTheme="minorHAnsi" w:hAnsiTheme="minorHAnsi" w:cstheme="minorHAnsi"/>
          <w:b/>
          <w:sz w:val="22"/>
          <w:szCs w:val="22"/>
        </w:rPr>
      </w:pPr>
    </w:p>
    <w:p w:rsidR="00990212" w:rsidRDefault="00FE4BE1" w:rsidP="005C1EC8">
      <w:pPr>
        <w:pStyle w:val="Default"/>
        <w:ind w:left="720" w:hanging="720"/>
        <w:rPr>
          <w:rFonts w:asciiTheme="minorHAnsi" w:hAnsiTheme="minorHAnsi" w:cstheme="minorHAnsi"/>
          <w:b/>
          <w:sz w:val="22"/>
          <w:szCs w:val="22"/>
        </w:rPr>
      </w:pPr>
      <w:r w:rsidRPr="00166531">
        <w:rPr>
          <w:rFonts w:asciiTheme="minorHAnsi" w:hAnsiTheme="minorHAnsi" w:cstheme="minorHAnsi"/>
          <w:b/>
          <w:sz w:val="22"/>
          <w:szCs w:val="22"/>
        </w:rPr>
        <w:t>Table 1</w:t>
      </w:r>
    </w:p>
    <w:p w:rsidR="00990212" w:rsidRDefault="00990212" w:rsidP="005C1EC8">
      <w:pPr>
        <w:pStyle w:val="Default"/>
        <w:ind w:left="720" w:hanging="720"/>
        <w:rPr>
          <w:rFonts w:asciiTheme="minorHAnsi" w:hAnsiTheme="minorHAnsi" w:cstheme="minorHAnsi"/>
          <w:sz w:val="22"/>
          <w:szCs w:val="22"/>
        </w:rPr>
      </w:pPr>
    </w:p>
    <w:p w:rsidR="00FE4BE1" w:rsidRPr="00166531" w:rsidRDefault="00FE4BE1" w:rsidP="005C1EC8">
      <w:pPr>
        <w:pStyle w:val="Default"/>
        <w:ind w:left="720" w:hanging="720"/>
        <w:rPr>
          <w:rFonts w:asciiTheme="minorHAnsi" w:hAnsiTheme="minorHAnsi" w:cstheme="minorHAnsi"/>
          <w:sz w:val="22"/>
          <w:szCs w:val="22"/>
        </w:rPr>
      </w:pPr>
      <w:r w:rsidRPr="00166531">
        <w:rPr>
          <w:rFonts w:asciiTheme="minorHAnsi" w:hAnsiTheme="minorHAnsi" w:cstheme="minorHAnsi"/>
          <w:sz w:val="22"/>
          <w:szCs w:val="22"/>
        </w:rPr>
        <w:t>Enrolments, Early and Further Withdrawals – 31</w:t>
      </w:r>
      <w:r w:rsidR="00990212" w:rsidRPr="00990212">
        <w:rPr>
          <w:rFonts w:asciiTheme="minorHAnsi" w:hAnsiTheme="minorHAnsi" w:cstheme="minorHAnsi"/>
          <w:sz w:val="22"/>
          <w:szCs w:val="22"/>
          <w:vertAlign w:val="superscript"/>
        </w:rPr>
        <w:t>st</w:t>
      </w:r>
      <w:r w:rsidR="00990212">
        <w:rPr>
          <w:rFonts w:asciiTheme="minorHAnsi" w:hAnsiTheme="minorHAnsi" w:cstheme="minorHAnsi"/>
          <w:sz w:val="22"/>
          <w:szCs w:val="22"/>
        </w:rPr>
        <w:t xml:space="preserve"> </w:t>
      </w:r>
      <w:r w:rsidRPr="00166531">
        <w:rPr>
          <w:rFonts w:asciiTheme="minorHAnsi" w:hAnsiTheme="minorHAnsi" w:cstheme="minorHAnsi"/>
          <w:sz w:val="22"/>
          <w:szCs w:val="22"/>
        </w:rPr>
        <w:t>J</w:t>
      </w:r>
      <w:r w:rsidR="00F17DBB" w:rsidRPr="00166531">
        <w:rPr>
          <w:rFonts w:asciiTheme="minorHAnsi" w:hAnsiTheme="minorHAnsi" w:cstheme="minorHAnsi"/>
          <w:sz w:val="22"/>
          <w:szCs w:val="22"/>
        </w:rPr>
        <w:t xml:space="preserve">uly </w:t>
      </w:r>
      <w:r w:rsidRPr="00166531">
        <w:rPr>
          <w:rFonts w:asciiTheme="minorHAnsi" w:hAnsiTheme="minorHAnsi" w:cstheme="minorHAnsi"/>
          <w:sz w:val="22"/>
          <w:szCs w:val="22"/>
        </w:rPr>
        <w:t>2024</w:t>
      </w:r>
    </w:p>
    <w:p w:rsidR="00805AFC" w:rsidRPr="00166531" w:rsidRDefault="00805AFC" w:rsidP="00805AFC">
      <w:pPr>
        <w:pStyle w:val="Default"/>
        <w:rPr>
          <w:sz w:val="22"/>
          <w:szCs w:val="22"/>
        </w:rPr>
      </w:pPr>
    </w:p>
    <w:tbl>
      <w:tblPr>
        <w:tblStyle w:val="TableGrid"/>
        <w:tblW w:w="0" w:type="auto"/>
        <w:tblLook w:val="04A0" w:firstRow="1" w:lastRow="0" w:firstColumn="1" w:lastColumn="0" w:noHBand="0" w:noVBand="1"/>
      </w:tblPr>
      <w:tblGrid>
        <w:gridCol w:w="1292"/>
        <w:gridCol w:w="1288"/>
        <w:gridCol w:w="1287"/>
        <w:gridCol w:w="1287"/>
        <w:gridCol w:w="1287"/>
        <w:gridCol w:w="1287"/>
        <w:gridCol w:w="1288"/>
      </w:tblGrid>
      <w:tr w:rsidR="000348F9" w:rsidRPr="00166531" w:rsidTr="00B773AD">
        <w:tc>
          <w:tcPr>
            <w:tcW w:w="1292"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Level/Mode</w:t>
            </w:r>
          </w:p>
        </w:tc>
        <w:tc>
          <w:tcPr>
            <w:tcW w:w="1288"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Enrolled</w:t>
            </w:r>
          </w:p>
        </w:tc>
        <w:tc>
          <w:tcPr>
            <w:tcW w:w="1287"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EW</w:t>
            </w:r>
          </w:p>
        </w:tc>
        <w:tc>
          <w:tcPr>
            <w:tcW w:w="1287"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 EW</w:t>
            </w:r>
          </w:p>
        </w:tc>
        <w:tc>
          <w:tcPr>
            <w:tcW w:w="1287"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FW</w:t>
            </w:r>
          </w:p>
        </w:tc>
        <w:tc>
          <w:tcPr>
            <w:tcW w:w="1287"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 FW</w:t>
            </w:r>
          </w:p>
        </w:tc>
        <w:tc>
          <w:tcPr>
            <w:tcW w:w="1288" w:type="dxa"/>
            <w:shd w:val="clear" w:color="auto" w:fill="FFF2CC" w:themeFill="accent4" w:themeFillTint="33"/>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Retention</w:t>
            </w:r>
          </w:p>
        </w:tc>
      </w:tr>
      <w:tr w:rsidR="000348F9" w:rsidRPr="00166531" w:rsidTr="00166531">
        <w:tc>
          <w:tcPr>
            <w:tcW w:w="1292" w:type="dxa"/>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FEFT</w:t>
            </w:r>
          </w:p>
        </w:tc>
        <w:tc>
          <w:tcPr>
            <w:tcW w:w="1288" w:type="dxa"/>
            <w:shd w:val="clear" w:color="auto" w:fill="auto"/>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385</w:t>
            </w:r>
            <w:r w:rsidR="000A2F32" w:rsidRPr="00166531">
              <w:rPr>
                <w:rFonts w:asciiTheme="minorHAnsi" w:hAnsiTheme="minorHAnsi" w:cstheme="minorHAnsi"/>
                <w:sz w:val="22"/>
                <w:szCs w:val="22"/>
              </w:rPr>
              <w:t>3</w:t>
            </w:r>
          </w:p>
        </w:tc>
        <w:tc>
          <w:tcPr>
            <w:tcW w:w="1287" w:type="dxa"/>
            <w:shd w:val="clear" w:color="auto" w:fill="auto"/>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1</w:t>
            </w:r>
            <w:r w:rsidR="000A2F32" w:rsidRPr="00166531">
              <w:rPr>
                <w:rFonts w:asciiTheme="minorHAnsi" w:hAnsiTheme="minorHAnsi" w:cstheme="minorHAnsi"/>
                <w:sz w:val="22"/>
                <w:szCs w:val="22"/>
              </w:rPr>
              <w:t>89</w:t>
            </w:r>
          </w:p>
        </w:tc>
        <w:tc>
          <w:tcPr>
            <w:tcW w:w="1287" w:type="dxa"/>
            <w:shd w:val="clear" w:color="auto" w:fill="auto"/>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5.</w:t>
            </w:r>
            <w:r w:rsidR="000A2F32" w:rsidRPr="00166531">
              <w:rPr>
                <w:rFonts w:asciiTheme="minorHAnsi" w:hAnsiTheme="minorHAnsi" w:cstheme="minorHAnsi"/>
                <w:sz w:val="22"/>
                <w:szCs w:val="22"/>
              </w:rPr>
              <w:t>0</w:t>
            </w:r>
            <w:r w:rsidR="00335530" w:rsidRPr="00166531">
              <w:rPr>
                <w:rFonts w:asciiTheme="minorHAnsi" w:hAnsiTheme="minorHAnsi" w:cstheme="minorHAnsi"/>
                <w:sz w:val="22"/>
                <w:szCs w:val="22"/>
              </w:rPr>
              <w:t>4</w:t>
            </w:r>
            <w:r w:rsidRPr="00166531">
              <w:rPr>
                <w:rFonts w:asciiTheme="minorHAnsi" w:hAnsiTheme="minorHAnsi" w:cstheme="minorHAnsi"/>
                <w:sz w:val="22"/>
                <w:szCs w:val="22"/>
              </w:rPr>
              <w:t>%</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999</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26</w:t>
            </w:r>
            <w:r w:rsidR="000348F9" w:rsidRPr="00166531">
              <w:rPr>
                <w:rFonts w:asciiTheme="minorHAnsi" w:hAnsiTheme="minorHAnsi" w:cstheme="minorHAnsi"/>
                <w:sz w:val="22"/>
                <w:szCs w:val="22"/>
              </w:rPr>
              <w:t>.6%</w:t>
            </w:r>
          </w:p>
        </w:tc>
        <w:tc>
          <w:tcPr>
            <w:tcW w:w="1288"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68</w:t>
            </w:r>
            <w:r w:rsidR="000348F9" w:rsidRPr="00166531">
              <w:rPr>
                <w:rFonts w:asciiTheme="minorHAnsi" w:hAnsiTheme="minorHAnsi" w:cstheme="minorHAnsi"/>
                <w:sz w:val="22"/>
                <w:szCs w:val="22"/>
              </w:rPr>
              <w:t>.3%</w:t>
            </w:r>
          </w:p>
        </w:tc>
      </w:tr>
      <w:tr w:rsidR="000348F9" w:rsidRPr="00166531" w:rsidTr="00166531">
        <w:tc>
          <w:tcPr>
            <w:tcW w:w="1292" w:type="dxa"/>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FEPT</w:t>
            </w:r>
          </w:p>
        </w:tc>
        <w:tc>
          <w:tcPr>
            <w:tcW w:w="1288" w:type="dxa"/>
            <w:shd w:val="clear" w:color="auto" w:fill="auto"/>
          </w:tcPr>
          <w:p w:rsidR="000348F9" w:rsidRPr="00166531" w:rsidRDefault="000A2F32"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7</w:t>
            </w:r>
            <w:r w:rsidR="00335530" w:rsidRPr="00166531">
              <w:rPr>
                <w:rFonts w:asciiTheme="minorHAnsi" w:hAnsiTheme="minorHAnsi" w:cstheme="minorHAnsi"/>
                <w:sz w:val="22"/>
                <w:szCs w:val="22"/>
              </w:rPr>
              <w:t>896</w:t>
            </w:r>
          </w:p>
        </w:tc>
        <w:tc>
          <w:tcPr>
            <w:tcW w:w="1287" w:type="dxa"/>
            <w:shd w:val="clear" w:color="auto" w:fill="auto"/>
          </w:tcPr>
          <w:p w:rsidR="000348F9" w:rsidRPr="00166531" w:rsidRDefault="000A2F32"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37</w:t>
            </w:r>
            <w:r w:rsidR="00335530" w:rsidRPr="00166531">
              <w:rPr>
                <w:rFonts w:asciiTheme="minorHAnsi" w:hAnsiTheme="minorHAnsi" w:cstheme="minorHAnsi"/>
                <w:sz w:val="22"/>
                <w:szCs w:val="22"/>
              </w:rPr>
              <w:t>2</w:t>
            </w:r>
          </w:p>
        </w:tc>
        <w:tc>
          <w:tcPr>
            <w:tcW w:w="1287" w:type="dxa"/>
            <w:shd w:val="clear" w:color="auto" w:fill="auto"/>
          </w:tcPr>
          <w:p w:rsidR="000348F9" w:rsidRPr="00166531" w:rsidRDefault="000A2F32"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5.</w:t>
            </w:r>
            <w:r w:rsidR="00335530" w:rsidRPr="00166531">
              <w:rPr>
                <w:rFonts w:asciiTheme="minorHAnsi" w:hAnsiTheme="minorHAnsi" w:cstheme="minorHAnsi"/>
                <w:sz w:val="22"/>
                <w:szCs w:val="22"/>
              </w:rPr>
              <w:t>3</w:t>
            </w:r>
            <w:r w:rsidRPr="00166531">
              <w:rPr>
                <w:rFonts w:asciiTheme="minorHAnsi" w:hAnsiTheme="minorHAnsi" w:cstheme="minorHAnsi"/>
                <w:sz w:val="22"/>
                <w:szCs w:val="22"/>
              </w:rPr>
              <w:t>2</w:t>
            </w:r>
            <w:r w:rsidR="000348F9" w:rsidRPr="00166531">
              <w:rPr>
                <w:rFonts w:asciiTheme="minorHAnsi" w:hAnsiTheme="minorHAnsi" w:cstheme="minorHAnsi"/>
                <w:sz w:val="22"/>
                <w:szCs w:val="22"/>
              </w:rPr>
              <w:t>%</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489</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6.99</w:t>
            </w:r>
            <w:r w:rsidR="000348F9" w:rsidRPr="00166531">
              <w:rPr>
                <w:rFonts w:asciiTheme="minorHAnsi" w:hAnsiTheme="minorHAnsi" w:cstheme="minorHAnsi"/>
                <w:sz w:val="22"/>
                <w:szCs w:val="22"/>
              </w:rPr>
              <w:t>%</w:t>
            </w:r>
          </w:p>
        </w:tc>
        <w:tc>
          <w:tcPr>
            <w:tcW w:w="1288"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87.7</w:t>
            </w:r>
            <w:r w:rsidR="000348F9" w:rsidRPr="00166531">
              <w:rPr>
                <w:rFonts w:asciiTheme="minorHAnsi" w:hAnsiTheme="minorHAnsi" w:cstheme="minorHAnsi"/>
                <w:sz w:val="22"/>
                <w:szCs w:val="22"/>
              </w:rPr>
              <w:t>%</w:t>
            </w:r>
          </w:p>
        </w:tc>
      </w:tr>
      <w:tr w:rsidR="000348F9" w:rsidRPr="00166531" w:rsidTr="00166531">
        <w:tc>
          <w:tcPr>
            <w:tcW w:w="1292" w:type="dxa"/>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HEFT</w:t>
            </w:r>
          </w:p>
        </w:tc>
        <w:tc>
          <w:tcPr>
            <w:tcW w:w="1288" w:type="dxa"/>
            <w:shd w:val="clear" w:color="auto" w:fill="auto"/>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20</w:t>
            </w:r>
            <w:r w:rsidR="000A2F32" w:rsidRPr="00166531">
              <w:rPr>
                <w:rFonts w:asciiTheme="minorHAnsi" w:hAnsiTheme="minorHAnsi" w:cstheme="minorHAnsi"/>
                <w:sz w:val="22"/>
                <w:szCs w:val="22"/>
              </w:rPr>
              <w:t>87</w:t>
            </w:r>
          </w:p>
        </w:tc>
        <w:tc>
          <w:tcPr>
            <w:tcW w:w="1287" w:type="dxa"/>
            <w:shd w:val="clear" w:color="auto" w:fill="auto"/>
          </w:tcPr>
          <w:p w:rsidR="000348F9" w:rsidRPr="00166531" w:rsidRDefault="000A2F32"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92</w:t>
            </w:r>
          </w:p>
        </w:tc>
        <w:tc>
          <w:tcPr>
            <w:tcW w:w="1287" w:type="dxa"/>
            <w:shd w:val="clear" w:color="auto" w:fill="auto"/>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4.</w:t>
            </w:r>
            <w:r w:rsidR="000A2F32" w:rsidRPr="00166531">
              <w:rPr>
                <w:rFonts w:asciiTheme="minorHAnsi" w:hAnsiTheme="minorHAnsi" w:cstheme="minorHAnsi"/>
                <w:sz w:val="22"/>
                <w:szCs w:val="22"/>
              </w:rPr>
              <w:t>44</w:t>
            </w:r>
            <w:r w:rsidRPr="00166531">
              <w:rPr>
                <w:rFonts w:asciiTheme="minorHAnsi" w:hAnsiTheme="minorHAnsi" w:cstheme="minorHAnsi"/>
                <w:sz w:val="22"/>
                <w:szCs w:val="22"/>
              </w:rPr>
              <w:t>%</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387</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18.7</w:t>
            </w:r>
            <w:r w:rsidR="000348F9" w:rsidRPr="00166531">
              <w:rPr>
                <w:rFonts w:asciiTheme="minorHAnsi" w:hAnsiTheme="minorHAnsi" w:cstheme="minorHAnsi"/>
                <w:sz w:val="22"/>
                <w:szCs w:val="22"/>
              </w:rPr>
              <w:t>%</w:t>
            </w:r>
          </w:p>
        </w:tc>
        <w:tc>
          <w:tcPr>
            <w:tcW w:w="1288"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76.9</w:t>
            </w:r>
            <w:r w:rsidR="000348F9" w:rsidRPr="00166531">
              <w:rPr>
                <w:rFonts w:asciiTheme="minorHAnsi" w:hAnsiTheme="minorHAnsi" w:cstheme="minorHAnsi"/>
                <w:sz w:val="22"/>
                <w:szCs w:val="22"/>
              </w:rPr>
              <w:t>%</w:t>
            </w:r>
          </w:p>
        </w:tc>
      </w:tr>
      <w:tr w:rsidR="000348F9" w:rsidRPr="00166531" w:rsidTr="00166531">
        <w:tc>
          <w:tcPr>
            <w:tcW w:w="1292" w:type="dxa"/>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HEPT</w:t>
            </w:r>
          </w:p>
        </w:tc>
        <w:tc>
          <w:tcPr>
            <w:tcW w:w="1288" w:type="dxa"/>
            <w:shd w:val="clear" w:color="auto" w:fill="auto"/>
          </w:tcPr>
          <w:p w:rsidR="000348F9" w:rsidRPr="00166531" w:rsidRDefault="000348F9"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54</w:t>
            </w:r>
            <w:r w:rsidR="000A2F32" w:rsidRPr="00166531">
              <w:rPr>
                <w:rFonts w:asciiTheme="minorHAnsi" w:hAnsiTheme="minorHAnsi" w:cstheme="minorHAnsi"/>
                <w:sz w:val="22"/>
                <w:szCs w:val="22"/>
              </w:rPr>
              <w:t>5</w:t>
            </w:r>
          </w:p>
        </w:tc>
        <w:tc>
          <w:tcPr>
            <w:tcW w:w="1287" w:type="dxa"/>
            <w:shd w:val="clear" w:color="auto" w:fill="auto"/>
          </w:tcPr>
          <w:p w:rsidR="000348F9" w:rsidRPr="00166531" w:rsidRDefault="000A2F32"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3</w:t>
            </w:r>
            <w:r w:rsidR="000348F9" w:rsidRPr="00166531">
              <w:rPr>
                <w:rFonts w:asciiTheme="minorHAnsi" w:hAnsiTheme="minorHAnsi" w:cstheme="minorHAnsi"/>
                <w:sz w:val="22"/>
                <w:szCs w:val="22"/>
              </w:rPr>
              <w:t>0</w:t>
            </w:r>
          </w:p>
        </w:tc>
        <w:tc>
          <w:tcPr>
            <w:tcW w:w="1287" w:type="dxa"/>
            <w:shd w:val="clear" w:color="auto" w:fill="auto"/>
          </w:tcPr>
          <w:p w:rsidR="000348F9" w:rsidRPr="00166531" w:rsidRDefault="000A2F32"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5.81</w:t>
            </w:r>
            <w:r w:rsidR="000348F9" w:rsidRPr="00166531">
              <w:rPr>
                <w:rFonts w:asciiTheme="minorHAnsi" w:hAnsiTheme="minorHAnsi" w:cstheme="minorHAnsi"/>
                <w:sz w:val="22"/>
                <w:szCs w:val="22"/>
              </w:rPr>
              <w:t>%</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42</w:t>
            </w:r>
          </w:p>
        </w:tc>
        <w:tc>
          <w:tcPr>
            <w:tcW w:w="1287"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8.1</w:t>
            </w:r>
            <w:r w:rsidR="000348F9" w:rsidRPr="00166531">
              <w:rPr>
                <w:rFonts w:asciiTheme="minorHAnsi" w:hAnsiTheme="minorHAnsi" w:cstheme="minorHAnsi"/>
                <w:sz w:val="22"/>
                <w:szCs w:val="22"/>
              </w:rPr>
              <w:t>%</w:t>
            </w:r>
          </w:p>
        </w:tc>
        <w:tc>
          <w:tcPr>
            <w:tcW w:w="1288" w:type="dxa"/>
            <w:shd w:val="clear" w:color="auto" w:fill="auto"/>
          </w:tcPr>
          <w:p w:rsidR="000348F9" w:rsidRPr="00166531" w:rsidRDefault="00335530" w:rsidP="000348F9">
            <w:pPr>
              <w:pStyle w:val="Default"/>
              <w:jc w:val="center"/>
              <w:rPr>
                <w:rFonts w:asciiTheme="minorHAnsi" w:hAnsiTheme="minorHAnsi" w:cstheme="minorHAnsi"/>
                <w:sz w:val="22"/>
                <w:szCs w:val="22"/>
              </w:rPr>
            </w:pPr>
            <w:r w:rsidRPr="00166531">
              <w:rPr>
                <w:rFonts w:asciiTheme="minorHAnsi" w:hAnsiTheme="minorHAnsi" w:cstheme="minorHAnsi"/>
                <w:sz w:val="22"/>
                <w:szCs w:val="22"/>
              </w:rPr>
              <w:t>86</w:t>
            </w:r>
            <w:r w:rsidR="000348F9" w:rsidRPr="00166531">
              <w:rPr>
                <w:rFonts w:asciiTheme="minorHAnsi" w:hAnsiTheme="minorHAnsi" w:cstheme="minorHAnsi"/>
                <w:sz w:val="22"/>
                <w:szCs w:val="22"/>
              </w:rPr>
              <w:t>%</w:t>
            </w:r>
          </w:p>
        </w:tc>
      </w:tr>
    </w:tbl>
    <w:p w:rsidR="00805AFC" w:rsidRPr="00166531" w:rsidRDefault="00805AFC" w:rsidP="00805AFC">
      <w:pPr>
        <w:pStyle w:val="Default"/>
        <w:rPr>
          <w:sz w:val="22"/>
          <w:szCs w:val="22"/>
        </w:rPr>
      </w:pPr>
    </w:p>
    <w:p w:rsidR="00380AD7" w:rsidRPr="00166531" w:rsidRDefault="00380AD7" w:rsidP="00F17DBB">
      <w:pPr>
        <w:pStyle w:val="Default"/>
        <w:ind w:left="720" w:hanging="720"/>
        <w:jc w:val="both"/>
        <w:rPr>
          <w:rFonts w:asciiTheme="minorHAnsi" w:hAnsiTheme="minorHAnsi" w:cstheme="minorHAnsi"/>
          <w:sz w:val="22"/>
          <w:szCs w:val="22"/>
        </w:rPr>
        <w:sectPr w:rsidR="00380AD7" w:rsidRPr="00166531" w:rsidSect="005448D5">
          <w:headerReference w:type="default" r:id="rId11"/>
          <w:headerReference w:type="first" r:id="rId12"/>
          <w:pgSz w:w="11906" w:h="16838"/>
          <w:pgMar w:top="1440" w:right="1440" w:bottom="1440" w:left="1440" w:header="567" w:footer="567" w:gutter="0"/>
          <w:cols w:space="708"/>
          <w:titlePg/>
          <w:docGrid w:linePitch="360"/>
        </w:sectPr>
      </w:pPr>
    </w:p>
    <w:p w:rsidR="00BB59FA" w:rsidRDefault="00BB59FA" w:rsidP="00BB59FA">
      <w:pPr>
        <w:pStyle w:val="Heading3"/>
        <w:spacing w:before="0" w:line="240" w:lineRule="auto"/>
        <w:ind w:left="567" w:hanging="567"/>
        <w:rPr>
          <w:b/>
        </w:rPr>
      </w:pPr>
    </w:p>
    <w:p w:rsidR="00A07342" w:rsidRDefault="00CE5A1D" w:rsidP="00BB59FA">
      <w:pPr>
        <w:pStyle w:val="Heading3"/>
        <w:spacing w:before="0" w:line="240" w:lineRule="auto"/>
        <w:ind w:left="567" w:hanging="567"/>
        <w:rPr>
          <w:b/>
        </w:rPr>
      </w:pPr>
      <w:r w:rsidRPr="00990212">
        <w:rPr>
          <w:b/>
        </w:rPr>
        <w:t>3.</w:t>
      </w:r>
      <w:r w:rsidRPr="00990212">
        <w:rPr>
          <w:b/>
        </w:rPr>
        <w:tab/>
      </w:r>
      <w:r w:rsidR="00A07342" w:rsidRPr="00990212">
        <w:rPr>
          <w:b/>
        </w:rPr>
        <w:t>National Examinations</w:t>
      </w:r>
    </w:p>
    <w:p w:rsidR="00BB59FA" w:rsidRDefault="00BB59FA" w:rsidP="00BB59FA">
      <w:pPr>
        <w:spacing w:after="0" w:line="240" w:lineRule="auto"/>
        <w:ind w:left="567" w:hanging="567"/>
      </w:pPr>
    </w:p>
    <w:p w:rsidR="00380AD7" w:rsidRPr="00166531" w:rsidRDefault="00A07342" w:rsidP="00990212">
      <w:pPr>
        <w:ind w:left="567" w:hanging="567"/>
        <w:rPr>
          <w:rFonts w:eastAsia="Times New Roman"/>
        </w:rPr>
      </w:pPr>
      <w:r w:rsidRPr="00166531">
        <w:t>3.1</w:t>
      </w:r>
      <w:r w:rsidRPr="00166531">
        <w:tab/>
      </w:r>
      <w:r w:rsidR="00380AD7" w:rsidRPr="00166531">
        <w:t xml:space="preserve">SQA results published on </w:t>
      </w:r>
      <w:r w:rsidR="00990212">
        <w:t>6</w:t>
      </w:r>
      <w:r w:rsidR="00990212" w:rsidRPr="00990212">
        <w:rPr>
          <w:vertAlign w:val="superscript"/>
        </w:rPr>
        <w:t>th</w:t>
      </w:r>
      <w:r w:rsidR="00990212">
        <w:t xml:space="preserve"> </w:t>
      </w:r>
      <w:r w:rsidR="00380AD7" w:rsidRPr="00166531">
        <w:t>August 202</w:t>
      </w:r>
      <w:r w:rsidR="00380AD7" w:rsidRPr="00166531">
        <w:rPr>
          <w:rFonts w:eastAsia="Times New Roman"/>
        </w:rPr>
        <w:t>4</w:t>
      </w:r>
    </w:p>
    <w:p w:rsidR="00380AD7" w:rsidRPr="00990212" w:rsidRDefault="00380AD7" w:rsidP="00380AD7">
      <w:pPr>
        <w:rPr>
          <w:b/>
        </w:rPr>
      </w:pPr>
      <w:r w:rsidRPr="00990212">
        <w:rPr>
          <w:b/>
        </w:rPr>
        <w:t>Table 2</w:t>
      </w:r>
    </w:p>
    <w:tbl>
      <w:tblPr>
        <w:tblW w:w="13958" w:type="dxa"/>
        <w:tblLook w:val="04A0" w:firstRow="1" w:lastRow="0" w:firstColumn="1" w:lastColumn="0" w:noHBand="0" w:noVBand="1"/>
      </w:tblPr>
      <w:tblGrid>
        <w:gridCol w:w="5500"/>
        <w:gridCol w:w="960"/>
        <w:gridCol w:w="692"/>
        <w:gridCol w:w="1568"/>
        <w:gridCol w:w="778"/>
        <w:gridCol w:w="790"/>
        <w:gridCol w:w="790"/>
        <w:gridCol w:w="960"/>
        <w:gridCol w:w="960"/>
        <w:gridCol w:w="960"/>
      </w:tblGrid>
      <w:tr w:rsidR="00380AD7" w:rsidRPr="00166531" w:rsidTr="00143B8A">
        <w:trPr>
          <w:trHeight w:val="290"/>
        </w:trPr>
        <w:tc>
          <w:tcPr>
            <w:tcW w:w="550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LEVEL</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2260" w:type="dxa"/>
            <w:gridSpan w:val="2"/>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OUTCOME</w:t>
            </w:r>
          </w:p>
        </w:tc>
        <w:tc>
          <w:tcPr>
            <w:tcW w:w="778"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r>
      <w:tr w:rsidR="00380AD7" w:rsidRPr="00166531" w:rsidTr="00143B8A">
        <w:trPr>
          <w:trHeight w:val="290"/>
        </w:trPr>
        <w:tc>
          <w:tcPr>
            <w:tcW w:w="550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NAT 5</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692"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1568"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778" w:type="dxa"/>
            <w:tcBorders>
              <w:top w:val="nil"/>
              <w:left w:val="nil"/>
              <w:bottom w:val="nil"/>
              <w:right w:val="nil"/>
            </w:tcBorders>
            <w:shd w:val="clear" w:color="auto" w:fill="FFF2CC" w:themeFill="accent4" w:themeFillTint="33"/>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23/24</w:t>
            </w:r>
          </w:p>
        </w:tc>
        <w:tc>
          <w:tcPr>
            <w:tcW w:w="790" w:type="dxa"/>
            <w:tcBorders>
              <w:top w:val="nil"/>
              <w:left w:val="nil"/>
              <w:bottom w:val="nil"/>
              <w:right w:val="nil"/>
            </w:tcBorders>
            <w:shd w:val="clear" w:color="auto" w:fill="FFF2CC" w:themeFill="accent4" w:themeFillTint="33"/>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22/23</w:t>
            </w:r>
          </w:p>
        </w:tc>
        <w:tc>
          <w:tcPr>
            <w:tcW w:w="790" w:type="dxa"/>
            <w:tcBorders>
              <w:top w:val="nil"/>
              <w:left w:val="nil"/>
              <w:bottom w:val="nil"/>
              <w:right w:val="nil"/>
            </w:tcBorders>
            <w:shd w:val="clear" w:color="auto" w:fill="FFF2CC" w:themeFill="accent4" w:themeFillTint="33"/>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21/22</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20/21</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19/20</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18/19</w:t>
            </w:r>
          </w:p>
        </w:tc>
      </w:tr>
      <w:tr w:rsidR="00380AD7" w:rsidRPr="00166531" w:rsidTr="00143B8A">
        <w:trPr>
          <w:trHeight w:val="290"/>
        </w:trPr>
        <w:tc>
          <w:tcPr>
            <w:tcW w:w="550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FAIL</w:t>
            </w:r>
          </w:p>
        </w:tc>
        <w:tc>
          <w:tcPr>
            <w:tcW w:w="692"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PASS</w:t>
            </w:r>
          </w:p>
        </w:tc>
        <w:tc>
          <w:tcPr>
            <w:tcW w:w="1568"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Grand Total</w:t>
            </w:r>
          </w:p>
        </w:tc>
        <w:tc>
          <w:tcPr>
            <w:tcW w:w="778" w:type="dxa"/>
            <w:tcBorders>
              <w:top w:val="nil"/>
              <w:left w:val="nil"/>
              <w:bottom w:val="nil"/>
              <w:right w:val="nil"/>
            </w:tcBorders>
            <w:shd w:val="clear" w:color="auto" w:fill="FFF2CC" w:themeFill="accent4" w:themeFillTint="33"/>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w:t>
            </w:r>
            <w:r w:rsidR="00990212">
              <w:rPr>
                <w:rFonts w:ascii="Calibri" w:eastAsia="Calibri" w:hAnsi="Calibri" w:cs="Times New Roman"/>
                <w:b/>
                <w:bCs/>
              </w:rPr>
              <w:t>P</w:t>
            </w:r>
            <w:r w:rsidRPr="00166531">
              <w:rPr>
                <w:rFonts w:ascii="Calibri" w:eastAsia="Calibri" w:hAnsi="Calibri" w:cs="Times New Roman"/>
                <w:b/>
                <w:bCs/>
              </w:rPr>
              <w:t>ass</w:t>
            </w:r>
          </w:p>
        </w:tc>
        <w:tc>
          <w:tcPr>
            <w:tcW w:w="790" w:type="dxa"/>
            <w:tcBorders>
              <w:top w:val="nil"/>
              <w:left w:val="nil"/>
              <w:bottom w:val="nil"/>
              <w:right w:val="nil"/>
            </w:tcBorders>
            <w:shd w:val="clear" w:color="auto" w:fill="FFF2CC" w:themeFill="accent4" w:themeFillTint="33"/>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%Pass</w:t>
            </w:r>
          </w:p>
        </w:tc>
        <w:tc>
          <w:tcPr>
            <w:tcW w:w="790" w:type="dxa"/>
            <w:tcBorders>
              <w:top w:val="nil"/>
              <w:left w:val="nil"/>
              <w:bottom w:val="nil"/>
              <w:right w:val="nil"/>
            </w:tcBorders>
            <w:shd w:val="clear" w:color="auto" w:fill="FFF2CC" w:themeFill="accent4" w:themeFillTint="33"/>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%Pass</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%Pass</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%Pass</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%Pass</w:t>
            </w: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rPr>
            </w:pPr>
            <w:r w:rsidRPr="00166531">
              <w:rPr>
                <w:rFonts w:ascii="Calibri" w:eastAsia="Calibri" w:hAnsi="Calibri" w:cs="Times New Roman"/>
              </w:rPr>
              <w:t xml:space="preserve">ENGLISH FOR SPEAKERS OF OTHER LANGUAGES                       </w:t>
            </w:r>
          </w:p>
        </w:tc>
        <w:tc>
          <w:tcPr>
            <w:tcW w:w="960"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5</w:t>
            </w:r>
          </w:p>
        </w:tc>
        <w:tc>
          <w:tcPr>
            <w:tcW w:w="692"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13</w:t>
            </w:r>
          </w:p>
        </w:tc>
        <w:tc>
          <w:tcPr>
            <w:tcW w:w="1568"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18</w:t>
            </w:r>
          </w:p>
        </w:tc>
        <w:tc>
          <w:tcPr>
            <w:tcW w:w="778" w:type="dxa"/>
            <w:tcBorders>
              <w:top w:val="nil"/>
              <w:left w:val="nil"/>
              <w:bottom w:val="nil"/>
              <w:right w:val="nil"/>
            </w:tcBorders>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72.2</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62.5</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45.5</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81.3</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90.0</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93.3</w:t>
            </w: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rPr>
            </w:pPr>
            <w:r w:rsidRPr="00166531">
              <w:rPr>
                <w:rFonts w:ascii="Calibri" w:eastAsia="Calibri" w:hAnsi="Calibri" w:cs="Times New Roman"/>
              </w:rPr>
              <w:t xml:space="preserve">APPLICATIONS OF MATHEMATICS </w:t>
            </w:r>
          </w:p>
        </w:tc>
        <w:tc>
          <w:tcPr>
            <w:tcW w:w="960"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1</w:t>
            </w:r>
          </w:p>
        </w:tc>
        <w:tc>
          <w:tcPr>
            <w:tcW w:w="692"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10</w:t>
            </w:r>
          </w:p>
        </w:tc>
        <w:tc>
          <w:tcPr>
            <w:tcW w:w="1568"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11</w:t>
            </w:r>
          </w:p>
        </w:tc>
        <w:tc>
          <w:tcPr>
            <w:tcW w:w="778" w:type="dxa"/>
            <w:tcBorders>
              <w:top w:val="nil"/>
              <w:left w:val="nil"/>
              <w:bottom w:val="nil"/>
              <w:right w:val="nil"/>
            </w:tcBorders>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90.9</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50</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66.7</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53.3</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81.3</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0</w:t>
            </w: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rPr>
            </w:pPr>
            <w:r w:rsidRPr="00166531">
              <w:rPr>
                <w:rFonts w:ascii="Calibri" w:eastAsia="Calibri" w:hAnsi="Calibri" w:cs="Times New Roman"/>
              </w:rPr>
              <w:t>MATHEMATICS</w:t>
            </w:r>
          </w:p>
        </w:tc>
        <w:tc>
          <w:tcPr>
            <w:tcW w:w="960"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12</w:t>
            </w:r>
          </w:p>
        </w:tc>
        <w:tc>
          <w:tcPr>
            <w:tcW w:w="692"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22</w:t>
            </w:r>
          </w:p>
        </w:tc>
        <w:tc>
          <w:tcPr>
            <w:tcW w:w="1568"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34</w:t>
            </w:r>
          </w:p>
        </w:tc>
        <w:tc>
          <w:tcPr>
            <w:tcW w:w="778" w:type="dxa"/>
            <w:tcBorders>
              <w:top w:val="nil"/>
              <w:left w:val="nil"/>
              <w:bottom w:val="nil"/>
              <w:right w:val="nil"/>
            </w:tcBorders>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64.7</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38</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47.2</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70.5</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65.8</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55.3</w:t>
            </w: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Total at Nat 5</w:t>
            </w:r>
          </w:p>
        </w:tc>
        <w:tc>
          <w:tcPr>
            <w:tcW w:w="960"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b/>
                <w:bCs/>
              </w:rPr>
            </w:pPr>
            <w:r w:rsidRPr="00166531">
              <w:rPr>
                <w:rFonts w:ascii="Calibri" w:eastAsia="Calibri" w:hAnsi="Calibri" w:cs="Times New Roman"/>
                <w:b/>
                <w:bCs/>
              </w:rPr>
              <w:t>18</w:t>
            </w:r>
          </w:p>
        </w:tc>
        <w:tc>
          <w:tcPr>
            <w:tcW w:w="692"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b/>
                <w:bCs/>
              </w:rPr>
            </w:pPr>
            <w:r w:rsidRPr="00166531">
              <w:rPr>
                <w:rFonts w:ascii="Calibri" w:eastAsia="Calibri" w:hAnsi="Calibri" w:cs="Times New Roman"/>
                <w:b/>
                <w:bCs/>
              </w:rPr>
              <w:t>45</w:t>
            </w:r>
          </w:p>
        </w:tc>
        <w:tc>
          <w:tcPr>
            <w:tcW w:w="1568"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6</w:t>
            </w:r>
            <w:r w:rsidR="00143B8A" w:rsidRPr="00166531">
              <w:rPr>
                <w:rFonts w:ascii="Calibri" w:eastAsia="Calibri" w:hAnsi="Calibri" w:cs="Times New Roman"/>
                <w:b/>
                <w:bCs/>
              </w:rPr>
              <w:t>3</w:t>
            </w:r>
          </w:p>
        </w:tc>
        <w:tc>
          <w:tcPr>
            <w:tcW w:w="778" w:type="dxa"/>
            <w:tcBorders>
              <w:top w:val="nil"/>
              <w:left w:val="nil"/>
              <w:bottom w:val="nil"/>
              <w:right w:val="nil"/>
            </w:tcBorders>
          </w:tcPr>
          <w:p w:rsidR="00380AD7" w:rsidRPr="00166531" w:rsidRDefault="00143B8A" w:rsidP="00990212">
            <w:pPr>
              <w:jc w:val="center"/>
              <w:rPr>
                <w:rFonts w:ascii="Calibri" w:eastAsia="Calibri" w:hAnsi="Calibri" w:cs="Times New Roman"/>
                <w:b/>
                <w:bCs/>
              </w:rPr>
            </w:pPr>
            <w:r w:rsidRPr="00166531">
              <w:rPr>
                <w:rFonts w:ascii="Calibri" w:eastAsia="Calibri" w:hAnsi="Calibri" w:cs="Times New Roman"/>
                <w:b/>
                <w:bCs/>
              </w:rPr>
              <w:t>71.4</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40.5</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54.3</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71.6</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76.2</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62.6</w:t>
            </w:r>
          </w:p>
        </w:tc>
      </w:tr>
      <w:tr w:rsidR="00380AD7" w:rsidRPr="00166531" w:rsidTr="00143B8A">
        <w:trPr>
          <w:trHeight w:val="290"/>
        </w:trPr>
        <w:tc>
          <w:tcPr>
            <w:tcW w:w="550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LEVEL</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2260" w:type="dxa"/>
            <w:gridSpan w:val="2"/>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OUTCOME</w:t>
            </w:r>
          </w:p>
        </w:tc>
        <w:tc>
          <w:tcPr>
            <w:tcW w:w="778"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r>
      <w:tr w:rsidR="00380AD7" w:rsidRPr="00166531" w:rsidTr="00143B8A">
        <w:trPr>
          <w:trHeight w:val="290"/>
        </w:trPr>
        <w:tc>
          <w:tcPr>
            <w:tcW w:w="550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HIGHER</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692"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1568"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778"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23/24</w:t>
            </w: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22/23</w:t>
            </w: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21/22</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20/21</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19/20</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18/19</w:t>
            </w:r>
          </w:p>
        </w:tc>
      </w:tr>
      <w:tr w:rsidR="00380AD7" w:rsidRPr="00166531" w:rsidTr="00143B8A">
        <w:trPr>
          <w:trHeight w:val="290"/>
        </w:trPr>
        <w:tc>
          <w:tcPr>
            <w:tcW w:w="550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 </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FAIL</w:t>
            </w:r>
          </w:p>
        </w:tc>
        <w:tc>
          <w:tcPr>
            <w:tcW w:w="692"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c>
          <w:tcPr>
            <w:tcW w:w="1568"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Grand Total</w:t>
            </w:r>
          </w:p>
        </w:tc>
        <w:tc>
          <w:tcPr>
            <w:tcW w:w="778"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c>
          <w:tcPr>
            <w:tcW w:w="790" w:type="dxa"/>
            <w:tcBorders>
              <w:top w:val="nil"/>
              <w:left w:val="nil"/>
              <w:bottom w:val="nil"/>
              <w:right w:val="nil"/>
            </w:tcBorders>
            <w:shd w:val="clear" w:color="auto" w:fill="FFF2CC" w:themeFill="accent4" w:themeFillTint="33"/>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c>
          <w:tcPr>
            <w:tcW w:w="960" w:type="dxa"/>
            <w:tcBorders>
              <w:top w:val="nil"/>
              <w:left w:val="nil"/>
              <w:bottom w:val="nil"/>
              <w:right w:val="nil"/>
            </w:tcBorders>
            <w:shd w:val="clear" w:color="auto" w:fill="FFF2CC" w:themeFill="accent4" w:themeFillTint="33"/>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%Pass</w:t>
            </w: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rPr>
            </w:pPr>
            <w:r w:rsidRPr="00166531">
              <w:rPr>
                <w:rFonts w:ascii="Calibri" w:eastAsia="Calibri" w:hAnsi="Calibri" w:cs="Times New Roman"/>
              </w:rPr>
              <w:t xml:space="preserve">ENGLISH                        </w:t>
            </w:r>
          </w:p>
        </w:tc>
        <w:tc>
          <w:tcPr>
            <w:tcW w:w="960"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8</w:t>
            </w:r>
          </w:p>
        </w:tc>
        <w:tc>
          <w:tcPr>
            <w:tcW w:w="692"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21</w:t>
            </w:r>
          </w:p>
        </w:tc>
        <w:tc>
          <w:tcPr>
            <w:tcW w:w="1568"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29</w:t>
            </w:r>
          </w:p>
        </w:tc>
        <w:tc>
          <w:tcPr>
            <w:tcW w:w="778" w:type="dxa"/>
            <w:tcBorders>
              <w:top w:val="nil"/>
              <w:left w:val="nil"/>
              <w:bottom w:val="nil"/>
              <w:right w:val="nil"/>
            </w:tcBorders>
          </w:tcPr>
          <w:p w:rsidR="00380AD7" w:rsidRPr="00166531" w:rsidRDefault="00143B8A" w:rsidP="00990212">
            <w:pPr>
              <w:jc w:val="center"/>
              <w:rPr>
                <w:rFonts w:ascii="Calibri" w:eastAsia="Calibri" w:hAnsi="Calibri" w:cs="Times New Roman"/>
              </w:rPr>
            </w:pPr>
            <w:r w:rsidRPr="00166531">
              <w:rPr>
                <w:rFonts w:ascii="Calibri" w:eastAsia="Calibri" w:hAnsi="Calibri" w:cs="Times New Roman"/>
              </w:rPr>
              <w:t>72.4</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73.3</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73.6</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96.8</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80.5</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r w:rsidRPr="00166531">
              <w:rPr>
                <w:rFonts w:ascii="Calibri" w:eastAsia="Calibri" w:hAnsi="Calibri" w:cs="Times New Roman"/>
              </w:rPr>
              <w:t>70.4</w:t>
            </w: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rPr>
            </w:pP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p>
        </w:tc>
        <w:tc>
          <w:tcPr>
            <w:tcW w:w="692"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p>
        </w:tc>
        <w:tc>
          <w:tcPr>
            <w:tcW w:w="1568"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p>
        </w:tc>
        <w:tc>
          <w:tcPr>
            <w:tcW w:w="778" w:type="dxa"/>
            <w:tcBorders>
              <w:top w:val="nil"/>
              <w:left w:val="nil"/>
              <w:bottom w:val="nil"/>
              <w:right w:val="nil"/>
            </w:tcBorders>
          </w:tcPr>
          <w:p w:rsidR="00380AD7" w:rsidRPr="00166531" w:rsidRDefault="00380AD7" w:rsidP="00990212">
            <w:pPr>
              <w:jc w:val="center"/>
              <w:rPr>
                <w:rFonts w:ascii="Calibri" w:eastAsia="Calibri" w:hAnsi="Calibri" w:cs="Times New Roman"/>
              </w:rPr>
            </w:pP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rPr>
            </w:pP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rPr>
            </w:pPr>
          </w:p>
        </w:tc>
      </w:tr>
      <w:tr w:rsidR="00380AD7" w:rsidRPr="00166531" w:rsidTr="00143B8A">
        <w:trPr>
          <w:trHeight w:val="290"/>
        </w:trPr>
        <w:tc>
          <w:tcPr>
            <w:tcW w:w="5500" w:type="dxa"/>
            <w:tcBorders>
              <w:top w:val="nil"/>
              <w:left w:val="nil"/>
              <w:bottom w:val="nil"/>
              <w:right w:val="nil"/>
            </w:tcBorders>
            <w:shd w:val="clear" w:color="auto" w:fill="auto"/>
            <w:noWrap/>
            <w:vAlign w:val="bottom"/>
            <w:hideMark/>
          </w:tcPr>
          <w:p w:rsidR="00380AD7" w:rsidRPr="00166531" w:rsidRDefault="00380AD7" w:rsidP="00380AD7">
            <w:pPr>
              <w:rPr>
                <w:rFonts w:ascii="Calibri" w:eastAsia="Calibri" w:hAnsi="Calibri" w:cs="Times New Roman"/>
                <w:b/>
                <w:bCs/>
              </w:rPr>
            </w:pPr>
            <w:r w:rsidRPr="00166531">
              <w:rPr>
                <w:rFonts w:ascii="Calibri" w:eastAsia="Calibri" w:hAnsi="Calibri" w:cs="Times New Roman"/>
                <w:b/>
                <w:bCs/>
              </w:rPr>
              <w:t>Total at Higher</w:t>
            </w:r>
          </w:p>
        </w:tc>
        <w:tc>
          <w:tcPr>
            <w:tcW w:w="960"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b/>
                <w:bCs/>
              </w:rPr>
            </w:pPr>
            <w:r w:rsidRPr="00166531">
              <w:rPr>
                <w:rFonts w:ascii="Calibri" w:eastAsia="Calibri" w:hAnsi="Calibri" w:cs="Times New Roman"/>
                <w:b/>
                <w:bCs/>
              </w:rPr>
              <w:t>8</w:t>
            </w:r>
          </w:p>
        </w:tc>
        <w:tc>
          <w:tcPr>
            <w:tcW w:w="692" w:type="dxa"/>
            <w:tcBorders>
              <w:top w:val="nil"/>
              <w:left w:val="nil"/>
              <w:bottom w:val="nil"/>
              <w:right w:val="nil"/>
            </w:tcBorders>
            <w:shd w:val="clear" w:color="auto" w:fill="auto"/>
            <w:noWrap/>
            <w:vAlign w:val="bottom"/>
          </w:tcPr>
          <w:p w:rsidR="00380AD7" w:rsidRPr="00166531" w:rsidRDefault="00143B8A" w:rsidP="00990212">
            <w:pPr>
              <w:jc w:val="center"/>
              <w:rPr>
                <w:rFonts w:ascii="Calibri" w:eastAsia="Calibri" w:hAnsi="Calibri" w:cs="Times New Roman"/>
                <w:b/>
                <w:bCs/>
              </w:rPr>
            </w:pPr>
            <w:r w:rsidRPr="00166531">
              <w:rPr>
                <w:rFonts w:ascii="Calibri" w:eastAsia="Calibri" w:hAnsi="Calibri" w:cs="Times New Roman"/>
                <w:b/>
                <w:bCs/>
              </w:rPr>
              <w:t>21</w:t>
            </w:r>
          </w:p>
        </w:tc>
        <w:tc>
          <w:tcPr>
            <w:tcW w:w="1568" w:type="dxa"/>
            <w:tcBorders>
              <w:top w:val="nil"/>
              <w:left w:val="nil"/>
              <w:bottom w:val="nil"/>
              <w:right w:val="nil"/>
            </w:tcBorders>
            <w:shd w:val="clear" w:color="auto" w:fill="auto"/>
            <w:noWrap/>
            <w:vAlign w:val="bottom"/>
            <w:hideMark/>
          </w:tcPr>
          <w:p w:rsidR="00380AD7" w:rsidRPr="00166531" w:rsidRDefault="00143B8A" w:rsidP="00990212">
            <w:pPr>
              <w:jc w:val="center"/>
              <w:rPr>
                <w:rFonts w:ascii="Calibri" w:eastAsia="Calibri" w:hAnsi="Calibri" w:cs="Times New Roman"/>
                <w:b/>
                <w:bCs/>
              </w:rPr>
            </w:pPr>
            <w:r w:rsidRPr="00166531">
              <w:rPr>
                <w:rFonts w:ascii="Calibri" w:eastAsia="Calibri" w:hAnsi="Calibri" w:cs="Times New Roman"/>
                <w:b/>
                <w:bCs/>
              </w:rPr>
              <w:t>29</w:t>
            </w:r>
          </w:p>
        </w:tc>
        <w:tc>
          <w:tcPr>
            <w:tcW w:w="778" w:type="dxa"/>
            <w:tcBorders>
              <w:top w:val="nil"/>
              <w:left w:val="nil"/>
              <w:bottom w:val="nil"/>
              <w:right w:val="nil"/>
            </w:tcBorders>
          </w:tcPr>
          <w:p w:rsidR="00380AD7" w:rsidRPr="00166531" w:rsidRDefault="00143B8A" w:rsidP="00990212">
            <w:pPr>
              <w:jc w:val="center"/>
              <w:rPr>
                <w:rFonts w:ascii="Calibri" w:eastAsia="Calibri" w:hAnsi="Calibri" w:cs="Times New Roman"/>
                <w:b/>
              </w:rPr>
            </w:pPr>
            <w:r w:rsidRPr="00166531">
              <w:rPr>
                <w:rFonts w:ascii="Calibri" w:eastAsia="Calibri" w:hAnsi="Calibri" w:cs="Times New Roman"/>
                <w:b/>
              </w:rPr>
              <w:t>72.4</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b/>
              </w:rPr>
            </w:pPr>
            <w:r w:rsidRPr="00166531">
              <w:rPr>
                <w:rFonts w:ascii="Calibri" w:eastAsia="Calibri" w:hAnsi="Calibri" w:cs="Times New Roman"/>
                <w:b/>
              </w:rPr>
              <w:t>73.3</w:t>
            </w:r>
          </w:p>
        </w:tc>
        <w:tc>
          <w:tcPr>
            <w:tcW w:w="790" w:type="dxa"/>
            <w:tcBorders>
              <w:top w:val="nil"/>
              <w:left w:val="nil"/>
              <w:bottom w:val="nil"/>
              <w:right w:val="nil"/>
            </w:tcBorders>
          </w:tcPr>
          <w:p w:rsidR="00380AD7" w:rsidRPr="00166531" w:rsidRDefault="00380AD7" w:rsidP="00990212">
            <w:pPr>
              <w:jc w:val="center"/>
              <w:rPr>
                <w:rFonts w:ascii="Calibri" w:eastAsia="Calibri" w:hAnsi="Calibri" w:cs="Times New Roman"/>
                <w:b/>
              </w:rPr>
            </w:pPr>
            <w:r w:rsidRPr="00166531">
              <w:rPr>
                <w:rFonts w:ascii="Calibri" w:eastAsia="Calibri" w:hAnsi="Calibri" w:cs="Times New Roman"/>
                <w:b/>
              </w:rPr>
              <w:t>70.8</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rPr>
            </w:pPr>
            <w:r w:rsidRPr="00166531">
              <w:rPr>
                <w:rFonts w:ascii="Calibri" w:eastAsia="Calibri" w:hAnsi="Calibri" w:cs="Times New Roman"/>
                <w:b/>
              </w:rPr>
              <w:t>95.0</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bCs/>
              </w:rPr>
            </w:pPr>
            <w:r w:rsidRPr="00166531">
              <w:rPr>
                <w:rFonts w:ascii="Calibri" w:eastAsia="Calibri" w:hAnsi="Calibri" w:cs="Times New Roman"/>
                <w:b/>
                <w:bCs/>
              </w:rPr>
              <w:t>70.5</w:t>
            </w:r>
          </w:p>
        </w:tc>
        <w:tc>
          <w:tcPr>
            <w:tcW w:w="960" w:type="dxa"/>
            <w:tcBorders>
              <w:top w:val="nil"/>
              <w:left w:val="nil"/>
              <w:bottom w:val="nil"/>
              <w:right w:val="nil"/>
            </w:tcBorders>
            <w:shd w:val="clear" w:color="auto" w:fill="auto"/>
            <w:noWrap/>
            <w:vAlign w:val="bottom"/>
            <w:hideMark/>
          </w:tcPr>
          <w:p w:rsidR="00380AD7" w:rsidRPr="00166531" w:rsidRDefault="00380AD7" w:rsidP="00990212">
            <w:pPr>
              <w:jc w:val="center"/>
              <w:rPr>
                <w:rFonts w:ascii="Calibri" w:eastAsia="Calibri" w:hAnsi="Calibri" w:cs="Times New Roman"/>
                <w:b/>
              </w:rPr>
            </w:pPr>
            <w:r w:rsidRPr="00166531">
              <w:rPr>
                <w:rFonts w:ascii="Calibri" w:eastAsia="Calibri" w:hAnsi="Calibri" w:cs="Times New Roman"/>
                <w:b/>
              </w:rPr>
              <w:t>47</w:t>
            </w:r>
          </w:p>
        </w:tc>
      </w:tr>
    </w:tbl>
    <w:p w:rsidR="00380AD7" w:rsidRPr="00166531" w:rsidRDefault="00380AD7" w:rsidP="00380AD7"/>
    <w:p w:rsidR="00380AD7" w:rsidRPr="00166531" w:rsidRDefault="00380AD7">
      <w:pPr>
        <w:sectPr w:rsidR="00380AD7" w:rsidRPr="00166531" w:rsidSect="00380AD7">
          <w:pgSz w:w="16838" w:h="11906" w:orient="landscape"/>
          <w:pgMar w:top="1440" w:right="1440" w:bottom="1440" w:left="1440" w:header="567" w:footer="567" w:gutter="0"/>
          <w:cols w:space="708"/>
          <w:titlePg/>
          <w:docGrid w:linePitch="360"/>
        </w:sectPr>
      </w:pPr>
    </w:p>
    <w:p w:rsidR="00BB59FA" w:rsidRDefault="00BB59FA" w:rsidP="00BB59FA">
      <w:pPr>
        <w:pStyle w:val="Heading3"/>
        <w:spacing w:before="0" w:line="240" w:lineRule="auto"/>
        <w:ind w:left="567" w:hanging="567"/>
        <w:rPr>
          <w:b/>
        </w:rPr>
      </w:pPr>
    </w:p>
    <w:p w:rsidR="005C1EC8" w:rsidRDefault="005C1EC8" w:rsidP="00BB59FA">
      <w:pPr>
        <w:pStyle w:val="Heading3"/>
        <w:spacing w:before="0" w:line="240" w:lineRule="auto"/>
        <w:ind w:left="567" w:hanging="567"/>
        <w:rPr>
          <w:b/>
        </w:rPr>
      </w:pPr>
      <w:r w:rsidRPr="00990212">
        <w:rPr>
          <w:b/>
        </w:rPr>
        <w:t>3.</w:t>
      </w:r>
      <w:r w:rsidRPr="00990212">
        <w:rPr>
          <w:b/>
        </w:rPr>
        <w:tab/>
        <w:t>National Examinations</w:t>
      </w:r>
      <w:r>
        <w:rPr>
          <w:b/>
        </w:rPr>
        <w:t xml:space="preserve"> (</w:t>
      </w:r>
      <w:r w:rsidR="005B6F3A">
        <w:rPr>
          <w:b/>
        </w:rPr>
        <w:t>cont.</w:t>
      </w:r>
      <w:r>
        <w:rPr>
          <w:b/>
        </w:rPr>
        <w:t>)</w:t>
      </w:r>
    </w:p>
    <w:p w:rsidR="005C1EC8" w:rsidRDefault="005C1EC8" w:rsidP="00BB59FA">
      <w:pPr>
        <w:spacing w:after="0" w:line="240" w:lineRule="auto"/>
      </w:pPr>
    </w:p>
    <w:p w:rsidR="00380AD7" w:rsidRDefault="005240AE" w:rsidP="00990212">
      <w:pPr>
        <w:spacing w:after="0" w:line="240" w:lineRule="auto"/>
        <w:ind w:left="567" w:hanging="567"/>
        <w:rPr>
          <w:rFonts w:cstheme="minorHAnsi"/>
          <w:color w:val="000000"/>
        </w:rPr>
      </w:pPr>
      <w:r w:rsidRPr="00166531">
        <w:rPr>
          <w:rFonts w:cstheme="minorHAnsi"/>
          <w:color w:val="000000"/>
        </w:rPr>
        <w:t>3.</w:t>
      </w:r>
      <w:r w:rsidR="00A07342" w:rsidRPr="00166531">
        <w:rPr>
          <w:rFonts w:cstheme="minorHAnsi"/>
          <w:color w:val="000000"/>
        </w:rPr>
        <w:t>2</w:t>
      </w:r>
      <w:r w:rsidRPr="00166531">
        <w:rPr>
          <w:rFonts w:cstheme="minorHAnsi"/>
          <w:color w:val="000000"/>
        </w:rPr>
        <w:tab/>
      </w:r>
      <w:bookmarkStart w:id="0" w:name="_Hlk170995752"/>
      <w:r w:rsidR="00380AD7" w:rsidRPr="00166531">
        <w:rPr>
          <w:rFonts w:cstheme="minorHAnsi"/>
          <w:color w:val="000000"/>
        </w:rPr>
        <w:t>NQ Appeals 202</w:t>
      </w:r>
      <w:r w:rsidRPr="00166531">
        <w:rPr>
          <w:rFonts w:cstheme="minorHAnsi"/>
          <w:color w:val="000000"/>
        </w:rPr>
        <w:t xml:space="preserve">4 </w:t>
      </w:r>
      <w:r w:rsidR="00380AD7" w:rsidRPr="00166531">
        <w:rPr>
          <w:rFonts w:cstheme="minorHAnsi"/>
          <w:color w:val="000000"/>
        </w:rPr>
        <w:t xml:space="preserve">is open and provides learners who are concerned about their grade with the opportunity to appeal through the college or directly to SQA. </w:t>
      </w:r>
    </w:p>
    <w:p w:rsidR="00990212" w:rsidRPr="00166531" w:rsidRDefault="00990212" w:rsidP="00990212">
      <w:pPr>
        <w:spacing w:after="0" w:line="240" w:lineRule="auto"/>
        <w:ind w:left="567" w:hanging="567"/>
        <w:rPr>
          <w:rFonts w:cstheme="minorHAnsi"/>
          <w:color w:val="000000"/>
        </w:rPr>
      </w:pPr>
    </w:p>
    <w:p w:rsidR="00380AD7" w:rsidRDefault="00380AD7" w:rsidP="00990212">
      <w:pPr>
        <w:spacing w:after="0" w:line="240" w:lineRule="auto"/>
        <w:ind w:left="567"/>
        <w:rPr>
          <w:rFonts w:cstheme="minorHAnsi"/>
          <w:color w:val="000000"/>
        </w:rPr>
      </w:pPr>
      <w:r w:rsidRPr="00166531">
        <w:rPr>
          <w:rFonts w:cstheme="minorHAnsi"/>
          <w:color w:val="000000"/>
        </w:rPr>
        <w:t>Following deadlines for centre submissions: </w:t>
      </w:r>
    </w:p>
    <w:p w:rsidR="00990212" w:rsidRPr="00166531" w:rsidRDefault="00990212" w:rsidP="00990212">
      <w:pPr>
        <w:spacing w:after="0" w:line="240" w:lineRule="auto"/>
        <w:ind w:left="567"/>
        <w:rPr>
          <w:rFonts w:cstheme="minorHAnsi"/>
          <w:color w:val="000000"/>
        </w:rPr>
      </w:pPr>
    </w:p>
    <w:p w:rsidR="0000253D" w:rsidRDefault="0000253D" w:rsidP="00990212">
      <w:pPr>
        <w:spacing w:after="0" w:line="240" w:lineRule="auto"/>
        <w:ind w:left="5670" w:hanging="5103"/>
        <w:rPr>
          <w:rFonts w:cstheme="minorHAnsi"/>
          <w:color w:val="000000"/>
        </w:rPr>
      </w:pPr>
      <w:r w:rsidRPr="00166531">
        <w:rPr>
          <w:rFonts w:cstheme="minorHAnsi"/>
          <w:color w:val="000000"/>
        </w:rPr>
        <w:t xml:space="preserve">Priority appeals service for centres closes </w:t>
      </w:r>
      <w:r w:rsidRPr="00166531">
        <w:rPr>
          <w:rFonts w:cstheme="minorHAnsi"/>
          <w:color w:val="000000"/>
        </w:rPr>
        <w:tab/>
        <w:t>21 August 2024 at 5.00pm</w:t>
      </w:r>
    </w:p>
    <w:p w:rsidR="00990212" w:rsidRPr="00166531" w:rsidRDefault="00990212" w:rsidP="00990212">
      <w:pPr>
        <w:spacing w:after="0" w:line="240" w:lineRule="auto"/>
        <w:ind w:left="5670" w:hanging="5103"/>
        <w:rPr>
          <w:rFonts w:cstheme="minorHAnsi"/>
          <w:color w:val="000000"/>
        </w:rPr>
      </w:pPr>
    </w:p>
    <w:p w:rsidR="0000253D" w:rsidRDefault="0000253D" w:rsidP="00990212">
      <w:pPr>
        <w:spacing w:after="0" w:line="240" w:lineRule="auto"/>
        <w:ind w:left="5670" w:hanging="5103"/>
        <w:rPr>
          <w:rFonts w:cstheme="minorHAnsi"/>
          <w:color w:val="000000"/>
        </w:rPr>
      </w:pPr>
      <w:r w:rsidRPr="00166531">
        <w:rPr>
          <w:rFonts w:cstheme="minorHAnsi"/>
          <w:color w:val="000000"/>
        </w:rPr>
        <w:t xml:space="preserve">SQA issues outcomes for priority appeals to centres. </w:t>
      </w:r>
      <w:r w:rsidRPr="00166531">
        <w:rPr>
          <w:rFonts w:cstheme="minorHAnsi"/>
          <w:color w:val="000000"/>
        </w:rPr>
        <w:tab/>
        <w:t>2 September 2024 at 09.00am</w:t>
      </w:r>
    </w:p>
    <w:p w:rsidR="00990212" w:rsidRPr="00166531" w:rsidRDefault="00990212" w:rsidP="00990212">
      <w:pPr>
        <w:spacing w:after="0" w:line="240" w:lineRule="auto"/>
        <w:ind w:left="5670" w:hanging="5103"/>
        <w:rPr>
          <w:rFonts w:cstheme="minorHAnsi"/>
          <w:color w:val="000000"/>
        </w:rPr>
      </w:pPr>
    </w:p>
    <w:p w:rsidR="0000253D" w:rsidRDefault="0000253D" w:rsidP="00990212">
      <w:pPr>
        <w:spacing w:after="0" w:line="240" w:lineRule="auto"/>
        <w:ind w:left="5670" w:hanging="5103"/>
        <w:rPr>
          <w:rFonts w:cstheme="minorHAnsi"/>
          <w:color w:val="000000"/>
        </w:rPr>
      </w:pPr>
      <w:r w:rsidRPr="00166531">
        <w:rPr>
          <w:rFonts w:cstheme="minorHAnsi"/>
          <w:color w:val="000000"/>
        </w:rPr>
        <w:t xml:space="preserve">SQA confirms outcomes to UCAS. </w:t>
      </w:r>
      <w:r w:rsidRPr="00166531">
        <w:rPr>
          <w:rFonts w:cstheme="minorHAnsi"/>
          <w:color w:val="000000"/>
        </w:rPr>
        <w:tab/>
        <w:t xml:space="preserve">3 September 2024 </w:t>
      </w:r>
    </w:p>
    <w:p w:rsidR="00990212" w:rsidRPr="00166531" w:rsidRDefault="00990212" w:rsidP="00990212">
      <w:pPr>
        <w:spacing w:after="0" w:line="240" w:lineRule="auto"/>
        <w:ind w:left="5670" w:hanging="5103"/>
        <w:rPr>
          <w:rFonts w:cstheme="minorHAnsi"/>
          <w:color w:val="000000"/>
        </w:rPr>
      </w:pPr>
    </w:p>
    <w:p w:rsidR="00CC1AC8" w:rsidRDefault="00CC1AC8" w:rsidP="00990212">
      <w:pPr>
        <w:spacing w:after="0" w:line="240" w:lineRule="auto"/>
        <w:ind w:left="5670" w:hanging="5103"/>
        <w:rPr>
          <w:rFonts w:cstheme="minorHAnsi"/>
          <w:color w:val="000000"/>
        </w:rPr>
      </w:pPr>
      <w:r w:rsidRPr="00166531">
        <w:rPr>
          <w:rFonts w:cstheme="minorHAnsi"/>
          <w:color w:val="000000"/>
        </w:rPr>
        <w:t xml:space="preserve">Non-priority appeals service for centres closes </w:t>
      </w:r>
      <w:r w:rsidRPr="00166531">
        <w:rPr>
          <w:rFonts w:cstheme="minorHAnsi"/>
          <w:color w:val="000000"/>
        </w:rPr>
        <w:tab/>
        <w:t>30 August 2024 at 5.00pm</w:t>
      </w:r>
    </w:p>
    <w:p w:rsidR="00990212" w:rsidRPr="00166531" w:rsidRDefault="00990212" w:rsidP="00990212">
      <w:pPr>
        <w:spacing w:after="0" w:line="240" w:lineRule="auto"/>
        <w:ind w:left="5670" w:hanging="5103"/>
        <w:rPr>
          <w:rFonts w:cstheme="minorHAnsi"/>
          <w:color w:val="000000"/>
        </w:rPr>
      </w:pPr>
    </w:p>
    <w:p w:rsidR="00CC1AC8" w:rsidRDefault="00CC1AC8" w:rsidP="00990212">
      <w:pPr>
        <w:spacing w:after="0" w:line="240" w:lineRule="auto"/>
        <w:ind w:left="5670" w:hanging="5103"/>
        <w:rPr>
          <w:rFonts w:cstheme="minorHAnsi"/>
          <w:color w:val="000000"/>
        </w:rPr>
      </w:pPr>
      <w:r w:rsidRPr="00166531">
        <w:rPr>
          <w:rFonts w:cstheme="minorHAnsi"/>
          <w:color w:val="000000"/>
        </w:rPr>
        <w:t xml:space="preserve">SQA issues outcomes for non-priority appeals. </w:t>
      </w:r>
      <w:r w:rsidRPr="00166531">
        <w:rPr>
          <w:rFonts w:cstheme="minorHAnsi"/>
          <w:color w:val="000000"/>
        </w:rPr>
        <w:tab/>
        <w:t>October 2024</w:t>
      </w:r>
    </w:p>
    <w:p w:rsidR="00990212" w:rsidRPr="00166531" w:rsidRDefault="00990212" w:rsidP="00990212">
      <w:pPr>
        <w:spacing w:after="0" w:line="240" w:lineRule="auto"/>
        <w:ind w:left="5670" w:hanging="5103"/>
        <w:rPr>
          <w:rFonts w:cstheme="minorHAnsi"/>
          <w:color w:val="000000"/>
        </w:rPr>
      </w:pPr>
    </w:p>
    <w:p w:rsidR="00380AD7" w:rsidRDefault="00380AD7" w:rsidP="00BB59FA">
      <w:pPr>
        <w:spacing w:after="0" w:line="240" w:lineRule="auto"/>
        <w:ind w:left="567"/>
        <w:rPr>
          <w:rFonts w:cstheme="minorHAnsi"/>
          <w:color w:val="000000"/>
        </w:rPr>
      </w:pPr>
      <w:r w:rsidRPr="00166531">
        <w:rPr>
          <w:rFonts w:cstheme="minorHAnsi"/>
          <w:color w:val="000000"/>
        </w:rPr>
        <w:t>There w</w:t>
      </w:r>
      <w:r w:rsidR="009C696F">
        <w:rPr>
          <w:rFonts w:cstheme="minorHAnsi"/>
          <w:color w:val="000000"/>
        </w:rPr>
        <w:t>as</w:t>
      </w:r>
      <w:r w:rsidRPr="00166531">
        <w:rPr>
          <w:rFonts w:cstheme="minorHAnsi"/>
          <w:color w:val="000000"/>
        </w:rPr>
        <w:t xml:space="preserve"> </w:t>
      </w:r>
      <w:r w:rsidR="00990212">
        <w:rPr>
          <w:rFonts w:cstheme="minorHAnsi"/>
          <w:color w:val="000000"/>
        </w:rPr>
        <w:t xml:space="preserve">one </w:t>
      </w:r>
      <w:r w:rsidRPr="00166531">
        <w:rPr>
          <w:rFonts w:cstheme="minorHAnsi"/>
          <w:color w:val="000000"/>
        </w:rPr>
        <w:t xml:space="preserve">priority appeal </w:t>
      </w:r>
      <w:r w:rsidR="00C70397" w:rsidRPr="00166531">
        <w:rPr>
          <w:rFonts w:cstheme="minorHAnsi"/>
          <w:color w:val="000000"/>
        </w:rPr>
        <w:t>and no non-priority appeals at this moment in time.</w:t>
      </w:r>
    </w:p>
    <w:p w:rsidR="00BB59FA" w:rsidRDefault="00BB59FA" w:rsidP="00BB59FA">
      <w:pPr>
        <w:spacing w:after="0" w:line="240" w:lineRule="auto"/>
        <w:ind w:left="567"/>
        <w:rPr>
          <w:rFonts w:cstheme="minorHAnsi"/>
          <w:color w:val="000000"/>
        </w:rPr>
      </w:pPr>
    </w:p>
    <w:p w:rsidR="00BB59FA" w:rsidRDefault="00BB59FA" w:rsidP="00BB59FA">
      <w:pPr>
        <w:spacing w:after="0" w:line="240" w:lineRule="auto"/>
        <w:ind w:left="567"/>
        <w:rPr>
          <w:rFonts w:cstheme="minorHAnsi"/>
          <w:color w:val="000000"/>
        </w:rPr>
      </w:pPr>
    </w:p>
    <w:bookmarkEnd w:id="0"/>
    <w:p w:rsidR="00A07342" w:rsidRPr="00990212" w:rsidRDefault="00A07342" w:rsidP="00990212">
      <w:pPr>
        <w:pStyle w:val="Heading3"/>
        <w:ind w:left="567" w:hanging="567"/>
        <w:rPr>
          <w:b/>
        </w:rPr>
      </w:pPr>
      <w:r w:rsidRPr="00990212">
        <w:rPr>
          <w:b/>
        </w:rPr>
        <w:t>4</w:t>
      </w:r>
      <w:r w:rsidR="00990212" w:rsidRPr="00990212">
        <w:rPr>
          <w:b/>
        </w:rPr>
        <w:t>.</w:t>
      </w:r>
      <w:r w:rsidRPr="00990212">
        <w:rPr>
          <w:b/>
        </w:rPr>
        <w:tab/>
      </w:r>
      <w:r w:rsidR="00B773AD" w:rsidRPr="00990212">
        <w:rPr>
          <w:b/>
        </w:rPr>
        <w:t xml:space="preserve">Overall </w:t>
      </w:r>
      <w:r w:rsidRPr="00990212">
        <w:rPr>
          <w:b/>
        </w:rPr>
        <w:t>KPI five-year trend</w:t>
      </w:r>
      <w:r w:rsidR="00B22D91" w:rsidRPr="00990212">
        <w:rPr>
          <w:b/>
        </w:rPr>
        <w:t xml:space="preserve"> for all modes of delivery</w:t>
      </w:r>
    </w:p>
    <w:p w:rsidR="00B22D91" w:rsidRPr="00166531" w:rsidRDefault="00B22D91" w:rsidP="00990212">
      <w:pPr>
        <w:spacing w:after="0" w:line="240" w:lineRule="auto"/>
      </w:pPr>
    </w:p>
    <w:p w:rsidR="00B22D91" w:rsidRDefault="00B22D91" w:rsidP="00990212">
      <w:pPr>
        <w:spacing w:after="0" w:line="240" w:lineRule="auto"/>
        <w:ind w:left="567" w:hanging="567"/>
        <w:jc w:val="both"/>
      </w:pPr>
      <w:r w:rsidRPr="00166531">
        <w:t>4.1</w:t>
      </w:r>
      <w:r w:rsidRPr="00166531">
        <w:tab/>
        <w:t>EIS-FELA in addition to taking strike action in session 2023</w:t>
      </w:r>
      <w:r w:rsidR="00990212">
        <w:t>-2024</w:t>
      </w:r>
      <w:r w:rsidRPr="00166531">
        <w:t xml:space="preserve">, they have participated in “Actions Short of Strike Action” (ASOS) that has included a resulting boycott, involving members withholding students' results. </w:t>
      </w:r>
    </w:p>
    <w:p w:rsidR="00990212" w:rsidRPr="00166531" w:rsidRDefault="00990212" w:rsidP="00990212">
      <w:pPr>
        <w:spacing w:after="0" w:line="240" w:lineRule="auto"/>
        <w:ind w:left="567" w:hanging="567"/>
      </w:pPr>
    </w:p>
    <w:p w:rsidR="00B22D91" w:rsidRDefault="00B773AD" w:rsidP="00990212">
      <w:pPr>
        <w:spacing w:after="0" w:line="240" w:lineRule="auto"/>
        <w:ind w:left="567" w:hanging="567"/>
        <w:jc w:val="both"/>
      </w:pPr>
      <w:r w:rsidRPr="00166531">
        <w:t>4.2</w:t>
      </w:r>
      <w:r w:rsidRPr="00166531">
        <w:tab/>
        <w:t>Similar to last academic session, t</w:t>
      </w:r>
      <w:r w:rsidR="00B22D91" w:rsidRPr="00166531">
        <w:t xml:space="preserve">his action has had a significant impact on </w:t>
      </w:r>
      <w:r w:rsidRPr="00166531">
        <w:t>processing of results and therefore achievement reported below, will be updated when all results are submitted.</w:t>
      </w:r>
      <w:r w:rsidR="00B22D91" w:rsidRPr="00166531">
        <w:t xml:space="preserve"> </w:t>
      </w:r>
    </w:p>
    <w:p w:rsidR="00990212" w:rsidRPr="00166531" w:rsidRDefault="00990212" w:rsidP="00990212">
      <w:pPr>
        <w:spacing w:after="0" w:line="240" w:lineRule="auto"/>
        <w:ind w:left="567" w:hanging="567"/>
      </w:pPr>
    </w:p>
    <w:p w:rsidR="00B773AD" w:rsidRDefault="00B773AD" w:rsidP="00990212">
      <w:pPr>
        <w:spacing w:after="0" w:line="240" w:lineRule="auto"/>
        <w:ind w:left="567" w:hanging="567"/>
      </w:pPr>
      <w:r w:rsidRPr="00166531">
        <w:t>4.3</w:t>
      </w:r>
      <w:r w:rsidRPr="00166531">
        <w:tab/>
        <w:t>KPI five-year tren</w:t>
      </w:r>
      <w:r w:rsidR="00990212">
        <w:t xml:space="preserve">d – Further </w:t>
      </w:r>
      <w:r w:rsidRPr="00166531">
        <w:t>Education – Full-time</w:t>
      </w:r>
    </w:p>
    <w:p w:rsidR="00990212" w:rsidRPr="00166531" w:rsidRDefault="00990212" w:rsidP="00990212">
      <w:pPr>
        <w:spacing w:after="0" w:line="240" w:lineRule="auto"/>
        <w:ind w:left="567" w:hanging="567"/>
      </w:pPr>
    </w:p>
    <w:p w:rsidR="00B22D91" w:rsidRPr="00990212" w:rsidRDefault="00B773AD" w:rsidP="00990212">
      <w:pPr>
        <w:spacing w:after="0" w:line="240" w:lineRule="auto"/>
        <w:ind w:left="567" w:hanging="567"/>
        <w:rPr>
          <w:b/>
        </w:rPr>
      </w:pPr>
      <w:r w:rsidRPr="00990212">
        <w:rPr>
          <w:b/>
        </w:rPr>
        <w:t>Table 3</w:t>
      </w:r>
    </w:p>
    <w:p w:rsidR="00B773AD" w:rsidRPr="00166531" w:rsidRDefault="00B773AD" w:rsidP="00B22D91"/>
    <w:tbl>
      <w:tblPr>
        <w:tblStyle w:val="TableGrid31"/>
        <w:tblW w:w="0" w:type="auto"/>
        <w:tblLook w:val="04A0" w:firstRow="1" w:lastRow="0" w:firstColumn="1" w:lastColumn="0" w:noHBand="0" w:noVBand="1"/>
      </w:tblPr>
      <w:tblGrid>
        <w:gridCol w:w="1503"/>
        <w:gridCol w:w="1654"/>
        <w:gridCol w:w="1654"/>
        <w:gridCol w:w="1351"/>
        <w:gridCol w:w="1351"/>
        <w:gridCol w:w="1503"/>
      </w:tblGrid>
      <w:tr w:rsidR="00B773AD" w:rsidRPr="00166531" w:rsidTr="00B773AD">
        <w:tc>
          <w:tcPr>
            <w:tcW w:w="1503" w:type="dxa"/>
          </w:tcPr>
          <w:p w:rsidR="00B773AD" w:rsidRPr="00166531" w:rsidRDefault="00B773AD" w:rsidP="00B773AD">
            <w:pPr>
              <w:jc w:val="center"/>
              <w:rPr>
                <w:rFonts w:ascii="Calibri" w:eastAsia="Calibri" w:hAnsi="Calibri" w:cs="Times New Roman"/>
                <w:b/>
              </w:rPr>
            </w:pPr>
            <w:r w:rsidRPr="00166531">
              <w:rPr>
                <w:rFonts w:ascii="Calibri" w:eastAsia="Calibri" w:hAnsi="Calibri" w:cs="Times New Roman"/>
                <w:b/>
              </w:rPr>
              <w:t>Academic Year</w:t>
            </w:r>
          </w:p>
        </w:tc>
        <w:tc>
          <w:tcPr>
            <w:tcW w:w="1654" w:type="dxa"/>
          </w:tcPr>
          <w:p w:rsidR="00B773AD" w:rsidRPr="00166531" w:rsidRDefault="00B773AD" w:rsidP="00B773AD">
            <w:pPr>
              <w:jc w:val="center"/>
              <w:rPr>
                <w:rFonts w:ascii="Calibri" w:eastAsia="Calibri" w:hAnsi="Calibri" w:cs="Times New Roman"/>
                <w:b/>
              </w:rPr>
            </w:pPr>
            <w:r w:rsidRPr="00166531">
              <w:rPr>
                <w:rFonts w:ascii="Calibri" w:eastAsia="Calibri" w:hAnsi="Calibri" w:cs="Times New Roman"/>
                <w:b/>
              </w:rPr>
              <w:t>Early Withdrawal</w:t>
            </w:r>
          </w:p>
        </w:tc>
        <w:tc>
          <w:tcPr>
            <w:tcW w:w="1654" w:type="dxa"/>
          </w:tcPr>
          <w:p w:rsidR="00B773AD" w:rsidRPr="00166531" w:rsidRDefault="00B773AD" w:rsidP="00B773AD">
            <w:pPr>
              <w:jc w:val="center"/>
              <w:rPr>
                <w:rFonts w:ascii="Calibri" w:eastAsia="Calibri" w:hAnsi="Calibri" w:cs="Times New Roman"/>
                <w:b/>
              </w:rPr>
            </w:pPr>
            <w:r w:rsidRPr="00166531">
              <w:rPr>
                <w:rFonts w:ascii="Calibri" w:eastAsia="Calibri" w:hAnsi="Calibri" w:cs="Times New Roman"/>
                <w:b/>
              </w:rPr>
              <w:t>Further Withdrawal</w:t>
            </w:r>
          </w:p>
        </w:tc>
        <w:tc>
          <w:tcPr>
            <w:tcW w:w="1351" w:type="dxa"/>
          </w:tcPr>
          <w:p w:rsidR="00B773AD" w:rsidRPr="00166531" w:rsidRDefault="00B773AD" w:rsidP="00B773AD">
            <w:pPr>
              <w:jc w:val="center"/>
              <w:rPr>
                <w:rFonts w:ascii="Calibri" w:eastAsia="Calibri" w:hAnsi="Calibri" w:cs="Times New Roman"/>
                <w:b/>
              </w:rPr>
            </w:pPr>
            <w:r w:rsidRPr="00166531">
              <w:rPr>
                <w:rFonts w:ascii="Calibri" w:eastAsia="Calibri" w:hAnsi="Calibri" w:cs="Times New Roman"/>
                <w:b/>
              </w:rPr>
              <w:t>Partial Success</w:t>
            </w:r>
          </w:p>
        </w:tc>
        <w:tc>
          <w:tcPr>
            <w:tcW w:w="1351" w:type="dxa"/>
          </w:tcPr>
          <w:p w:rsidR="00B773AD" w:rsidRPr="00166531" w:rsidRDefault="00B773AD" w:rsidP="00B773AD">
            <w:pPr>
              <w:jc w:val="center"/>
              <w:rPr>
                <w:rFonts w:ascii="Calibri" w:eastAsia="Calibri" w:hAnsi="Calibri" w:cs="Times New Roman"/>
                <w:b/>
              </w:rPr>
            </w:pPr>
            <w:r w:rsidRPr="00166531">
              <w:rPr>
                <w:rFonts w:ascii="Calibri" w:eastAsia="Calibri" w:hAnsi="Calibri" w:cs="Times New Roman"/>
                <w:b/>
              </w:rPr>
              <w:t>Success</w:t>
            </w:r>
          </w:p>
        </w:tc>
        <w:tc>
          <w:tcPr>
            <w:tcW w:w="1503" w:type="dxa"/>
          </w:tcPr>
          <w:p w:rsidR="00B773AD" w:rsidRPr="00166531" w:rsidRDefault="00B773AD" w:rsidP="00B773AD">
            <w:pPr>
              <w:jc w:val="center"/>
              <w:rPr>
                <w:rFonts w:ascii="Calibri" w:eastAsia="Calibri" w:hAnsi="Calibri" w:cs="Times New Roman"/>
                <w:b/>
              </w:rPr>
            </w:pPr>
            <w:r w:rsidRPr="00166531">
              <w:rPr>
                <w:rFonts w:ascii="Calibri" w:eastAsia="Calibri" w:hAnsi="Calibri" w:cs="Times New Roman"/>
                <w:b/>
              </w:rPr>
              <w:t>Unknown result at 31.7.24</w:t>
            </w:r>
          </w:p>
        </w:tc>
      </w:tr>
      <w:tr w:rsidR="00B773AD" w:rsidRPr="00166531" w:rsidTr="00B773AD">
        <w:tc>
          <w:tcPr>
            <w:tcW w:w="1503"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2019-</w:t>
            </w:r>
            <w:r w:rsidR="00990212">
              <w:rPr>
                <w:rFonts w:ascii="Calibri" w:eastAsia="Calibri" w:hAnsi="Calibri" w:cs="Times New Roman"/>
              </w:rPr>
              <w:t>20</w:t>
            </w:r>
            <w:r w:rsidRPr="00166531">
              <w:rPr>
                <w:rFonts w:ascii="Calibri" w:eastAsia="Calibri" w:hAnsi="Calibri" w:cs="Times New Roman"/>
              </w:rPr>
              <w:t>20</w:t>
            </w:r>
          </w:p>
        </w:tc>
        <w:tc>
          <w:tcPr>
            <w:tcW w:w="1654"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6.28%</w:t>
            </w:r>
          </w:p>
        </w:tc>
        <w:tc>
          <w:tcPr>
            <w:tcW w:w="1654"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10.63%</w:t>
            </w:r>
          </w:p>
        </w:tc>
        <w:tc>
          <w:tcPr>
            <w:tcW w:w="1351"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11.73%</w:t>
            </w:r>
          </w:p>
        </w:tc>
        <w:tc>
          <w:tcPr>
            <w:tcW w:w="1351"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71.36%</w:t>
            </w:r>
          </w:p>
        </w:tc>
        <w:tc>
          <w:tcPr>
            <w:tcW w:w="1503" w:type="dxa"/>
          </w:tcPr>
          <w:p w:rsidR="00B773AD" w:rsidRPr="00166531" w:rsidRDefault="00B773AD" w:rsidP="00B773AD">
            <w:pPr>
              <w:jc w:val="center"/>
              <w:rPr>
                <w:rFonts w:ascii="Calibri" w:eastAsia="Calibri" w:hAnsi="Calibri" w:cs="Times New Roman"/>
              </w:rPr>
            </w:pPr>
          </w:p>
        </w:tc>
      </w:tr>
      <w:tr w:rsidR="00B773AD" w:rsidRPr="00166531" w:rsidTr="00B773AD">
        <w:tc>
          <w:tcPr>
            <w:tcW w:w="1503"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2020-2</w:t>
            </w:r>
            <w:r w:rsidR="00990212">
              <w:rPr>
                <w:rFonts w:ascii="Calibri" w:eastAsia="Calibri" w:hAnsi="Calibri" w:cs="Times New Roman"/>
              </w:rPr>
              <w:t>02</w:t>
            </w:r>
            <w:r w:rsidRPr="00166531">
              <w:rPr>
                <w:rFonts w:ascii="Calibri" w:eastAsia="Calibri" w:hAnsi="Calibri" w:cs="Times New Roman"/>
              </w:rPr>
              <w:t>1</w:t>
            </w:r>
          </w:p>
        </w:tc>
        <w:tc>
          <w:tcPr>
            <w:tcW w:w="1654"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5.41%</w:t>
            </w:r>
          </w:p>
        </w:tc>
        <w:tc>
          <w:tcPr>
            <w:tcW w:w="1654"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14.65%</w:t>
            </w:r>
          </w:p>
        </w:tc>
        <w:tc>
          <w:tcPr>
            <w:tcW w:w="1351"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16.1%</w:t>
            </w:r>
          </w:p>
        </w:tc>
        <w:tc>
          <w:tcPr>
            <w:tcW w:w="1351"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63.84%</w:t>
            </w:r>
          </w:p>
        </w:tc>
        <w:tc>
          <w:tcPr>
            <w:tcW w:w="1503" w:type="dxa"/>
          </w:tcPr>
          <w:p w:rsidR="00B773AD" w:rsidRPr="00166531" w:rsidRDefault="00B773AD" w:rsidP="00B773AD">
            <w:pPr>
              <w:jc w:val="center"/>
              <w:rPr>
                <w:rFonts w:ascii="Calibri" w:eastAsia="Calibri" w:hAnsi="Calibri" w:cs="Times New Roman"/>
              </w:rPr>
            </w:pPr>
          </w:p>
        </w:tc>
      </w:tr>
      <w:tr w:rsidR="00B773AD" w:rsidRPr="00166531" w:rsidTr="00B773AD">
        <w:tc>
          <w:tcPr>
            <w:tcW w:w="1503"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2021-2</w:t>
            </w:r>
            <w:r w:rsidR="00990212">
              <w:rPr>
                <w:rFonts w:ascii="Calibri" w:eastAsia="Calibri" w:hAnsi="Calibri" w:cs="Times New Roman"/>
              </w:rPr>
              <w:t>02</w:t>
            </w:r>
            <w:r w:rsidRPr="00166531">
              <w:rPr>
                <w:rFonts w:ascii="Calibri" w:eastAsia="Calibri" w:hAnsi="Calibri" w:cs="Times New Roman"/>
              </w:rPr>
              <w:t>2</w:t>
            </w:r>
          </w:p>
        </w:tc>
        <w:tc>
          <w:tcPr>
            <w:tcW w:w="1654"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7.2%</w:t>
            </w:r>
          </w:p>
        </w:tc>
        <w:tc>
          <w:tcPr>
            <w:tcW w:w="1654"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18%</w:t>
            </w:r>
          </w:p>
        </w:tc>
        <w:tc>
          <w:tcPr>
            <w:tcW w:w="1351"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14.7%</w:t>
            </w:r>
          </w:p>
        </w:tc>
        <w:tc>
          <w:tcPr>
            <w:tcW w:w="1351" w:type="dxa"/>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60.1%</w:t>
            </w:r>
          </w:p>
        </w:tc>
        <w:tc>
          <w:tcPr>
            <w:tcW w:w="1503" w:type="dxa"/>
          </w:tcPr>
          <w:p w:rsidR="00B773AD" w:rsidRPr="00166531" w:rsidRDefault="00B773AD" w:rsidP="00B773AD">
            <w:pPr>
              <w:jc w:val="center"/>
              <w:rPr>
                <w:rFonts w:ascii="Calibri" w:eastAsia="Calibri" w:hAnsi="Calibri" w:cs="Times New Roman"/>
              </w:rPr>
            </w:pPr>
          </w:p>
        </w:tc>
      </w:tr>
      <w:tr w:rsidR="00B773AD" w:rsidRPr="00166531" w:rsidTr="00BB59FA">
        <w:tc>
          <w:tcPr>
            <w:tcW w:w="1503"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2022-2</w:t>
            </w:r>
            <w:r w:rsidR="00990212">
              <w:rPr>
                <w:rFonts w:ascii="Calibri" w:eastAsia="Calibri" w:hAnsi="Calibri" w:cs="Times New Roman"/>
              </w:rPr>
              <w:t>02</w:t>
            </w:r>
            <w:r w:rsidRPr="00166531">
              <w:rPr>
                <w:rFonts w:ascii="Calibri" w:eastAsia="Calibri" w:hAnsi="Calibri" w:cs="Times New Roman"/>
              </w:rPr>
              <w:t>3</w:t>
            </w:r>
          </w:p>
        </w:tc>
        <w:tc>
          <w:tcPr>
            <w:tcW w:w="1654"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7.7%</w:t>
            </w:r>
          </w:p>
        </w:tc>
        <w:tc>
          <w:tcPr>
            <w:tcW w:w="1654"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13.9%</w:t>
            </w:r>
          </w:p>
        </w:tc>
        <w:tc>
          <w:tcPr>
            <w:tcW w:w="1351"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0.48%</w:t>
            </w:r>
          </w:p>
        </w:tc>
        <w:tc>
          <w:tcPr>
            <w:tcW w:w="1351"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3.53%</w:t>
            </w:r>
          </w:p>
        </w:tc>
        <w:tc>
          <w:tcPr>
            <w:tcW w:w="1503"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74.3%</w:t>
            </w:r>
          </w:p>
        </w:tc>
      </w:tr>
      <w:tr w:rsidR="00B773AD" w:rsidRPr="00166531" w:rsidTr="00BB59FA">
        <w:tc>
          <w:tcPr>
            <w:tcW w:w="1503" w:type="dxa"/>
            <w:tcBorders>
              <w:bottom w:val="single" w:sz="4" w:space="0" w:color="auto"/>
            </w:tcBorders>
          </w:tcPr>
          <w:p w:rsidR="00B773AD" w:rsidRPr="00166531" w:rsidRDefault="00B773AD" w:rsidP="00B773AD">
            <w:pPr>
              <w:jc w:val="center"/>
              <w:rPr>
                <w:rFonts w:ascii="Calibri" w:eastAsia="Calibri" w:hAnsi="Calibri" w:cs="Times New Roman"/>
              </w:rPr>
            </w:pPr>
            <w:r w:rsidRPr="00166531">
              <w:rPr>
                <w:rFonts w:ascii="Calibri" w:eastAsia="Calibri" w:hAnsi="Calibri" w:cs="Times New Roman"/>
              </w:rPr>
              <w:t>2023-2</w:t>
            </w:r>
            <w:r w:rsidR="00990212">
              <w:rPr>
                <w:rFonts w:ascii="Calibri" w:eastAsia="Calibri" w:hAnsi="Calibri" w:cs="Times New Roman"/>
              </w:rPr>
              <w:t>02</w:t>
            </w:r>
            <w:r w:rsidRPr="00166531">
              <w:rPr>
                <w:rFonts w:ascii="Calibri" w:eastAsia="Calibri" w:hAnsi="Calibri" w:cs="Times New Roman"/>
              </w:rPr>
              <w:t>4</w:t>
            </w:r>
          </w:p>
        </w:tc>
        <w:tc>
          <w:tcPr>
            <w:tcW w:w="1654" w:type="dxa"/>
            <w:tcBorders>
              <w:bottom w:val="single" w:sz="4" w:space="0" w:color="auto"/>
            </w:tcBorders>
          </w:tcPr>
          <w:p w:rsidR="00B773AD" w:rsidRPr="00166531" w:rsidRDefault="00125561" w:rsidP="00B773AD">
            <w:pPr>
              <w:jc w:val="center"/>
              <w:rPr>
                <w:rFonts w:ascii="Calibri" w:eastAsia="Calibri" w:hAnsi="Calibri" w:cs="Times New Roman"/>
              </w:rPr>
            </w:pPr>
            <w:r w:rsidRPr="00166531">
              <w:rPr>
                <w:rFonts w:ascii="Calibri" w:eastAsia="Calibri" w:hAnsi="Calibri" w:cs="Times New Roman"/>
              </w:rPr>
              <w:t>5.04%</w:t>
            </w:r>
          </w:p>
        </w:tc>
        <w:tc>
          <w:tcPr>
            <w:tcW w:w="1654" w:type="dxa"/>
            <w:tcBorders>
              <w:bottom w:val="single" w:sz="4" w:space="0" w:color="auto"/>
            </w:tcBorders>
          </w:tcPr>
          <w:p w:rsidR="00B773AD" w:rsidRPr="00166531" w:rsidRDefault="00125561" w:rsidP="00B773AD">
            <w:pPr>
              <w:jc w:val="center"/>
              <w:rPr>
                <w:rFonts w:ascii="Calibri" w:eastAsia="Calibri" w:hAnsi="Calibri" w:cs="Times New Roman"/>
              </w:rPr>
            </w:pPr>
            <w:r w:rsidRPr="00166531">
              <w:rPr>
                <w:rFonts w:ascii="Calibri" w:eastAsia="Calibri" w:hAnsi="Calibri" w:cs="Times New Roman"/>
              </w:rPr>
              <w:t>26.6%</w:t>
            </w:r>
          </w:p>
        </w:tc>
        <w:tc>
          <w:tcPr>
            <w:tcW w:w="1351" w:type="dxa"/>
            <w:tcBorders>
              <w:bottom w:val="single" w:sz="4" w:space="0" w:color="auto"/>
            </w:tcBorders>
          </w:tcPr>
          <w:p w:rsidR="00B773AD" w:rsidRPr="00166531" w:rsidRDefault="00125561" w:rsidP="00B773AD">
            <w:pPr>
              <w:jc w:val="center"/>
              <w:rPr>
                <w:rFonts w:ascii="Calibri" w:eastAsia="Calibri" w:hAnsi="Calibri" w:cs="Times New Roman"/>
              </w:rPr>
            </w:pPr>
            <w:r w:rsidRPr="00166531">
              <w:rPr>
                <w:rFonts w:ascii="Calibri" w:eastAsia="Calibri" w:hAnsi="Calibri" w:cs="Times New Roman"/>
              </w:rPr>
              <w:t>-</w:t>
            </w:r>
          </w:p>
        </w:tc>
        <w:tc>
          <w:tcPr>
            <w:tcW w:w="1351" w:type="dxa"/>
            <w:tcBorders>
              <w:bottom w:val="single" w:sz="4" w:space="0" w:color="auto"/>
            </w:tcBorders>
          </w:tcPr>
          <w:p w:rsidR="00B773AD" w:rsidRPr="00166531" w:rsidRDefault="00B773AD" w:rsidP="00B773AD">
            <w:pPr>
              <w:jc w:val="center"/>
              <w:rPr>
                <w:rFonts w:ascii="Calibri" w:eastAsia="Calibri" w:hAnsi="Calibri" w:cs="Times New Roman"/>
              </w:rPr>
            </w:pPr>
          </w:p>
        </w:tc>
        <w:tc>
          <w:tcPr>
            <w:tcW w:w="1503" w:type="dxa"/>
            <w:tcBorders>
              <w:bottom w:val="single" w:sz="4" w:space="0" w:color="auto"/>
            </w:tcBorders>
          </w:tcPr>
          <w:p w:rsidR="00B773AD" w:rsidRPr="00166531" w:rsidRDefault="00125561" w:rsidP="00B773AD">
            <w:pPr>
              <w:jc w:val="center"/>
              <w:rPr>
                <w:rFonts w:ascii="Calibri" w:eastAsia="Calibri" w:hAnsi="Calibri" w:cs="Times New Roman"/>
              </w:rPr>
            </w:pPr>
            <w:r w:rsidRPr="00166531">
              <w:rPr>
                <w:rFonts w:ascii="Calibri" w:eastAsia="Calibri" w:hAnsi="Calibri" w:cs="Times New Roman"/>
              </w:rPr>
              <w:t>68.3%</w:t>
            </w:r>
          </w:p>
        </w:tc>
      </w:tr>
    </w:tbl>
    <w:p w:rsidR="00125561" w:rsidRPr="00166531" w:rsidRDefault="00125561" w:rsidP="00B22D91"/>
    <w:p w:rsidR="00B773AD" w:rsidRDefault="00B773AD" w:rsidP="000E425B">
      <w:pPr>
        <w:spacing w:after="0" w:line="240" w:lineRule="auto"/>
        <w:ind w:left="567" w:hanging="567"/>
        <w:jc w:val="both"/>
      </w:pPr>
      <w:r w:rsidRPr="00166531">
        <w:t>4.4</w:t>
      </w:r>
      <w:r w:rsidRPr="00166531">
        <w:tab/>
        <w:t>In session 2023</w:t>
      </w:r>
      <w:r w:rsidR="00125561" w:rsidRPr="00166531">
        <w:t>-</w:t>
      </w:r>
      <w:r w:rsidR="00990212">
        <w:t>202</w:t>
      </w:r>
      <w:r w:rsidRPr="00166531">
        <w:t xml:space="preserve">4, Further Education – Full-time was </w:t>
      </w:r>
      <w:r w:rsidR="00D76724" w:rsidRPr="00166531">
        <w:t>53.7</w:t>
      </w:r>
      <w:r w:rsidRPr="00166531">
        <w:t>% of activity at New College Lanarkshire.</w:t>
      </w:r>
    </w:p>
    <w:p w:rsidR="00990212" w:rsidRPr="00166531" w:rsidRDefault="00990212" w:rsidP="00990212">
      <w:pPr>
        <w:spacing w:after="0" w:line="240" w:lineRule="auto"/>
        <w:ind w:left="720" w:hanging="720"/>
      </w:pPr>
    </w:p>
    <w:p w:rsidR="000E425B" w:rsidRDefault="000E425B">
      <w:r>
        <w:br w:type="page"/>
      </w:r>
    </w:p>
    <w:p w:rsidR="00BB59FA" w:rsidRDefault="00BB59FA" w:rsidP="00BB59FA">
      <w:pPr>
        <w:pStyle w:val="Heading3"/>
        <w:spacing w:before="0" w:line="240" w:lineRule="auto"/>
        <w:ind w:left="567" w:hanging="567"/>
        <w:rPr>
          <w:b/>
        </w:rPr>
      </w:pPr>
    </w:p>
    <w:p w:rsidR="00BB59FA" w:rsidRDefault="00BB59FA" w:rsidP="00BB59FA">
      <w:pPr>
        <w:pStyle w:val="Heading3"/>
        <w:spacing w:before="0" w:line="240" w:lineRule="auto"/>
        <w:ind w:left="567" w:hanging="567"/>
        <w:rPr>
          <w:b/>
        </w:rPr>
      </w:pPr>
      <w:r w:rsidRPr="00990212">
        <w:rPr>
          <w:b/>
        </w:rPr>
        <w:t>4.</w:t>
      </w:r>
      <w:r w:rsidRPr="00990212">
        <w:rPr>
          <w:b/>
        </w:rPr>
        <w:tab/>
        <w:t>Overall KPI five-year trend for all modes of delivery</w:t>
      </w:r>
      <w:r>
        <w:rPr>
          <w:b/>
        </w:rPr>
        <w:t xml:space="preserve"> (</w:t>
      </w:r>
      <w:r w:rsidR="005B6F3A">
        <w:rPr>
          <w:b/>
        </w:rPr>
        <w:t>cont.</w:t>
      </w:r>
      <w:r>
        <w:rPr>
          <w:b/>
        </w:rPr>
        <w:t>)</w:t>
      </w:r>
    </w:p>
    <w:p w:rsidR="00BB59FA" w:rsidRDefault="00BB59FA" w:rsidP="00BB59FA">
      <w:pPr>
        <w:spacing w:after="0" w:line="240" w:lineRule="auto"/>
        <w:ind w:left="567" w:hanging="567"/>
      </w:pPr>
    </w:p>
    <w:p w:rsidR="00923EFF" w:rsidRDefault="00923EFF" w:rsidP="000E425B">
      <w:pPr>
        <w:spacing w:after="0" w:line="240" w:lineRule="auto"/>
        <w:ind w:left="567" w:hanging="567"/>
      </w:pPr>
      <w:r w:rsidRPr="00166531">
        <w:t>4.5</w:t>
      </w:r>
      <w:r w:rsidRPr="00166531">
        <w:tab/>
        <w:t>KPI five-year tren</w:t>
      </w:r>
      <w:r w:rsidR="000E425B">
        <w:t xml:space="preserve">d – Further </w:t>
      </w:r>
      <w:r w:rsidRPr="00166531">
        <w:t>Educatio</w:t>
      </w:r>
      <w:r w:rsidR="000E425B">
        <w:t>n – Part</w:t>
      </w:r>
      <w:r w:rsidRPr="00166531">
        <w:t>-time</w:t>
      </w:r>
    </w:p>
    <w:p w:rsidR="00990212" w:rsidRPr="00166531" w:rsidRDefault="00990212" w:rsidP="000E425B">
      <w:pPr>
        <w:spacing w:after="0" w:line="240" w:lineRule="auto"/>
        <w:ind w:left="720" w:hanging="720"/>
      </w:pPr>
    </w:p>
    <w:p w:rsidR="00923EFF" w:rsidRPr="000E425B" w:rsidRDefault="00923EFF" w:rsidP="000E425B">
      <w:pPr>
        <w:spacing w:after="0" w:line="240" w:lineRule="auto"/>
        <w:ind w:left="720" w:hanging="720"/>
        <w:rPr>
          <w:b/>
        </w:rPr>
      </w:pPr>
      <w:r w:rsidRPr="000E425B">
        <w:rPr>
          <w:b/>
        </w:rPr>
        <w:t>Table 4</w:t>
      </w:r>
    </w:p>
    <w:p w:rsidR="000E425B" w:rsidRPr="00166531" w:rsidRDefault="000E425B" w:rsidP="000E425B">
      <w:pPr>
        <w:spacing w:after="0" w:line="240" w:lineRule="auto"/>
        <w:ind w:left="720" w:hanging="720"/>
      </w:pPr>
    </w:p>
    <w:tbl>
      <w:tblPr>
        <w:tblStyle w:val="TableGrid2"/>
        <w:tblW w:w="0" w:type="auto"/>
        <w:tblLook w:val="04A0" w:firstRow="1" w:lastRow="0" w:firstColumn="1" w:lastColumn="0" w:noHBand="0" w:noVBand="1"/>
      </w:tblPr>
      <w:tblGrid>
        <w:gridCol w:w="1503"/>
        <w:gridCol w:w="1632"/>
        <w:gridCol w:w="1633"/>
        <w:gridCol w:w="1373"/>
        <w:gridCol w:w="1373"/>
        <w:gridCol w:w="1502"/>
      </w:tblGrid>
      <w:tr w:rsidR="00923EFF" w:rsidRPr="00166531" w:rsidTr="00923EFF">
        <w:tc>
          <w:tcPr>
            <w:tcW w:w="1503" w:type="dxa"/>
          </w:tcPr>
          <w:p w:rsidR="00923EFF" w:rsidRPr="00166531" w:rsidRDefault="00923EFF" w:rsidP="000E425B">
            <w:pPr>
              <w:jc w:val="center"/>
              <w:rPr>
                <w:rFonts w:ascii="Calibri" w:eastAsia="Calibri" w:hAnsi="Calibri" w:cs="Times New Roman"/>
                <w:b/>
              </w:rPr>
            </w:pPr>
            <w:r w:rsidRPr="00166531">
              <w:rPr>
                <w:rFonts w:ascii="Calibri" w:eastAsia="Calibri" w:hAnsi="Calibri" w:cs="Times New Roman"/>
                <w:b/>
              </w:rPr>
              <w:t>Academic Year</w:t>
            </w:r>
          </w:p>
        </w:tc>
        <w:tc>
          <w:tcPr>
            <w:tcW w:w="1632" w:type="dxa"/>
          </w:tcPr>
          <w:p w:rsidR="00923EFF" w:rsidRPr="00166531" w:rsidRDefault="00923EFF" w:rsidP="000E425B">
            <w:pPr>
              <w:jc w:val="center"/>
              <w:rPr>
                <w:rFonts w:ascii="Calibri" w:eastAsia="Calibri" w:hAnsi="Calibri" w:cs="Times New Roman"/>
                <w:b/>
              </w:rPr>
            </w:pPr>
            <w:r w:rsidRPr="00166531">
              <w:rPr>
                <w:rFonts w:ascii="Calibri" w:eastAsia="Calibri" w:hAnsi="Calibri" w:cs="Times New Roman"/>
                <w:b/>
              </w:rPr>
              <w:t>Early Withdrawal</w:t>
            </w:r>
          </w:p>
        </w:tc>
        <w:tc>
          <w:tcPr>
            <w:tcW w:w="1633" w:type="dxa"/>
          </w:tcPr>
          <w:p w:rsidR="00923EFF" w:rsidRPr="00166531" w:rsidRDefault="00923EFF" w:rsidP="000E425B">
            <w:pPr>
              <w:jc w:val="center"/>
              <w:rPr>
                <w:rFonts w:ascii="Calibri" w:eastAsia="Calibri" w:hAnsi="Calibri" w:cs="Times New Roman"/>
                <w:b/>
              </w:rPr>
            </w:pPr>
            <w:r w:rsidRPr="00166531">
              <w:rPr>
                <w:rFonts w:ascii="Calibri" w:eastAsia="Calibri" w:hAnsi="Calibri" w:cs="Times New Roman"/>
                <w:b/>
              </w:rPr>
              <w:t>Further Withdrawal</w:t>
            </w:r>
          </w:p>
        </w:tc>
        <w:tc>
          <w:tcPr>
            <w:tcW w:w="1373" w:type="dxa"/>
          </w:tcPr>
          <w:p w:rsidR="00923EFF" w:rsidRPr="00166531" w:rsidRDefault="00923EFF" w:rsidP="000E425B">
            <w:pPr>
              <w:jc w:val="center"/>
              <w:rPr>
                <w:rFonts w:ascii="Calibri" w:eastAsia="Calibri" w:hAnsi="Calibri" w:cs="Times New Roman"/>
                <w:b/>
              </w:rPr>
            </w:pPr>
            <w:r w:rsidRPr="00166531">
              <w:rPr>
                <w:rFonts w:ascii="Calibri" w:eastAsia="Calibri" w:hAnsi="Calibri" w:cs="Times New Roman"/>
                <w:b/>
              </w:rPr>
              <w:t>Partial Success</w:t>
            </w:r>
          </w:p>
        </w:tc>
        <w:tc>
          <w:tcPr>
            <w:tcW w:w="1373" w:type="dxa"/>
          </w:tcPr>
          <w:p w:rsidR="00923EFF" w:rsidRPr="00166531" w:rsidRDefault="00923EFF" w:rsidP="000E425B">
            <w:pPr>
              <w:jc w:val="center"/>
              <w:rPr>
                <w:rFonts w:ascii="Calibri" w:eastAsia="Calibri" w:hAnsi="Calibri" w:cs="Times New Roman"/>
                <w:b/>
              </w:rPr>
            </w:pPr>
            <w:r w:rsidRPr="00166531">
              <w:rPr>
                <w:rFonts w:ascii="Calibri" w:eastAsia="Calibri" w:hAnsi="Calibri" w:cs="Times New Roman"/>
                <w:b/>
              </w:rPr>
              <w:t>Success</w:t>
            </w:r>
          </w:p>
        </w:tc>
        <w:tc>
          <w:tcPr>
            <w:tcW w:w="1502" w:type="dxa"/>
          </w:tcPr>
          <w:p w:rsidR="00923EFF" w:rsidRPr="00166531" w:rsidRDefault="00923EFF" w:rsidP="000E425B">
            <w:pPr>
              <w:jc w:val="center"/>
              <w:rPr>
                <w:rFonts w:ascii="Calibri" w:eastAsia="Calibri" w:hAnsi="Calibri" w:cs="Times New Roman"/>
                <w:b/>
              </w:rPr>
            </w:pPr>
            <w:r w:rsidRPr="00166531">
              <w:rPr>
                <w:rFonts w:ascii="Calibri" w:eastAsia="Calibri" w:hAnsi="Calibri" w:cs="Times New Roman"/>
                <w:b/>
              </w:rPr>
              <w:t>Unknown result at 31.7.24</w:t>
            </w:r>
          </w:p>
        </w:tc>
      </w:tr>
      <w:tr w:rsidR="00923EFF" w:rsidRPr="00166531" w:rsidTr="00923EFF">
        <w:tc>
          <w:tcPr>
            <w:tcW w:w="150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2019-2</w:t>
            </w:r>
            <w:r w:rsidR="000E425B">
              <w:rPr>
                <w:rFonts w:ascii="Calibri" w:eastAsia="Calibri" w:hAnsi="Calibri" w:cs="Times New Roman"/>
              </w:rPr>
              <w:t>02</w:t>
            </w:r>
            <w:r w:rsidRPr="00166531">
              <w:rPr>
                <w:rFonts w:ascii="Calibri" w:eastAsia="Calibri" w:hAnsi="Calibri" w:cs="Times New Roman"/>
              </w:rPr>
              <w:t>0</w:t>
            </w:r>
          </w:p>
        </w:tc>
        <w:tc>
          <w:tcPr>
            <w:tcW w:w="1632"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5.36%</w:t>
            </w:r>
          </w:p>
        </w:tc>
        <w:tc>
          <w:tcPr>
            <w:tcW w:w="163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6.61%</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17.6%</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70.43%</w:t>
            </w:r>
          </w:p>
        </w:tc>
        <w:tc>
          <w:tcPr>
            <w:tcW w:w="1502" w:type="dxa"/>
          </w:tcPr>
          <w:p w:rsidR="00923EFF" w:rsidRPr="00166531" w:rsidRDefault="00923EFF" w:rsidP="000E425B">
            <w:pPr>
              <w:jc w:val="center"/>
              <w:rPr>
                <w:rFonts w:ascii="Calibri" w:eastAsia="Calibri" w:hAnsi="Calibri" w:cs="Times New Roman"/>
              </w:rPr>
            </w:pPr>
          </w:p>
        </w:tc>
      </w:tr>
      <w:tr w:rsidR="00923EFF" w:rsidRPr="00166531" w:rsidTr="00923EFF">
        <w:tc>
          <w:tcPr>
            <w:tcW w:w="150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2020-2</w:t>
            </w:r>
            <w:r w:rsidR="000E425B">
              <w:rPr>
                <w:rFonts w:ascii="Calibri" w:eastAsia="Calibri" w:hAnsi="Calibri" w:cs="Times New Roman"/>
              </w:rPr>
              <w:t>02</w:t>
            </w:r>
            <w:r w:rsidRPr="00166531">
              <w:rPr>
                <w:rFonts w:ascii="Calibri" w:eastAsia="Calibri" w:hAnsi="Calibri" w:cs="Times New Roman"/>
              </w:rPr>
              <w:t>1</w:t>
            </w:r>
          </w:p>
        </w:tc>
        <w:tc>
          <w:tcPr>
            <w:tcW w:w="1632"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2.89%</w:t>
            </w:r>
          </w:p>
        </w:tc>
        <w:tc>
          <w:tcPr>
            <w:tcW w:w="163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5.44%</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19.75%</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71.92%</w:t>
            </w:r>
          </w:p>
        </w:tc>
        <w:tc>
          <w:tcPr>
            <w:tcW w:w="1502" w:type="dxa"/>
          </w:tcPr>
          <w:p w:rsidR="00923EFF" w:rsidRPr="00166531" w:rsidRDefault="00923EFF" w:rsidP="000E425B">
            <w:pPr>
              <w:jc w:val="center"/>
              <w:rPr>
                <w:rFonts w:ascii="Calibri" w:eastAsia="Calibri" w:hAnsi="Calibri" w:cs="Times New Roman"/>
              </w:rPr>
            </w:pPr>
          </w:p>
        </w:tc>
      </w:tr>
      <w:tr w:rsidR="00923EFF" w:rsidRPr="00166531" w:rsidTr="00923EFF">
        <w:tc>
          <w:tcPr>
            <w:tcW w:w="150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2021-2</w:t>
            </w:r>
            <w:r w:rsidR="000E425B">
              <w:rPr>
                <w:rFonts w:ascii="Calibri" w:eastAsia="Calibri" w:hAnsi="Calibri" w:cs="Times New Roman"/>
              </w:rPr>
              <w:t>02</w:t>
            </w:r>
            <w:r w:rsidRPr="00166531">
              <w:rPr>
                <w:rFonts w:ascii="Calibri" w:eastAsia="Calibri" w:hAnsi="Calibri" w:cs="Times New Roman"/>
              </w:rPr>
              <w:t>2</w:t>
            </w:r>
          </w:p>
        </w:tc>
        <w:tc>
          <w:tcPr>
            <w:tcW w:w="1632"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4.4%</w:t>
            </w:r>
          </w:p>
        </w:tc>
        <w:tc>
          <w:tcPr>
            <w:tcW w:w="163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7.6%</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15.52%</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72.5%</w:t>
            </w:r>
          </w:p>
        </w:tc>
        <w:tc>
          <w:tcPr>
            <w:tcW w:w="1502" w:type="dxa"/>
          </w:tcPr>
          <w:p w:rsidR="00923EFF" w:rsidRPr="00166531" w:rsidRDefault="00923EFF" w:rsidP="000E425B">
            <w:pPr>
              <w:jc w:val="center"/>
              <w:rPr>
                <w:rFonts w:ascii="Calibri" w:eastAsia="Calibri" w:hAnsi="Calibri" w:cs="Times New Roman"/>
              </w:rPr>
            </w:pPr>
          </w:p>
        </w:tc>
      </w:tr>
      <w:tr w:rsidR="00923EFF" w:rsidRPr="00166531" w:rsidTr="00923EFF">
        <w:tc>
          <w:tcPr>
            <w:tcW w:w="150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2022-2</w:t>
            </w:r>
            <w:r w:rsidR="000E425B">
              <w:rPr>
                <w:rFonts w:ascii="Calibri" w:eastAsia="Calibri" w:hAnsi="Calibri" w:cs="Times New Roman"/>
              </w:rPr>
              <w:t>02</w:t>
            </w:r>
            <w:r w:rsidRPr="00166531">
              <w:rPr>
                <w:rFonts w:ascii="Calibri" w:eastAsia="Calibri" w:hAnsi="Calibri" w:cs="Times New Roman"/>
              </w:rPr>
              <w:t>3</w:t>
            </w:r>
          </w:p>
        </w:tc>
        <w:tc>
          <w:tcPr>
            <w:tcW w:w="1632"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5.02%</w:t>
            </w:r>
          </w:p>
        </w:tc>
        <w:tc>
          <w:tcPr>
            <w:tcW w:w="163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6.52%</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4.88%</w:t>
            </w:r>
          </w:p>
        </w:tc>
        <w:tc>
          <w:tcPr>
            <w:tcW w:w="137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36.5%</w:t>
            </w:r>
          </w:p>
        </w:tc>
        <w:tc>
          <w:tcPr>
            <w:tcW w:w="1502"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47%</w:t>
            </w:r>
          </w:p>
        </w:tc>
      </w:tr>
      <w:tr w:rsidR="00923EFF" w:rsidRPr="00166531" w:rsidTr="00923EFF">
        <w:tc>
          <w:tcPr>
            <w:tcW w:w="1503" w:type="dxa"/>
          </w:tcPr>
          <w:p w:rsidR="00923EFF" w:rsidRPr="00166531" w:rsidRDefault="00923EFF" w:rsidP="000E425B">
            <w:pPr>
              <w:jc w:val="center"/>
              <w:rPr>
                <w:rFonts w:ascii="Calibri" w:eastAsia="Calibri" w:hAnsi="Calibri" w:cs="Times New Roman"/>
              </w:rPr>
            </w:pPr>
            <w:r w:rsidRPr="00166531">
              <w:rPr>
                <w:rFonts w:ascii="Calibri" w:eastAsia="Calibri" w:hAnsi="Calibri" w:cs="Times New Roman"/>
              </w:rPr>
              <w:t>2023-2</w:t>
            </w:r>
            <w:r w:rsidR="000E425B">
              <w:rPr>
                <w:rFonts w:ascii="Calibri" w:eastAsia="Calibri" w:hAnsi="Calibri" w:cs="Times New Roman"/>
              </w:rPr>
              <w:t>02</w:t>
            </w:r>
            <w:r w:rsidRPr="00166531">
              <w:rPr>
                <w:rFonts w:ascii="Calibri" w:eastAsia="Calibri" w:hAnsi="Calibri" w:cs="Times New Roman"/>
              </w:rPr>
              <w:t>4</w:t>
            </w:r>
          </w:p>
        </w:tc>
        <w:tc>
          <w:tcPr>
            <w:tcW w:w="1632" w:type="dxa"/>
          </w:tcPr>
          <w:p w:rsidR="00923EFF" w:rsidRPr="00166531" w:rsidRDefault="00125561" w:rsidP="000E425B">
            <w:pPr>
              <w:jc w:val="center"/>
              <w:rPr>
                <w:rFonts w:ascii="Calibri" w:eastAsia="Calibri" w:hAnsi="Calibri" w:cs="Times New Roman"/>
              </w:rPr>
            </w:pPr>
            <w:r w:rsidRPr="00166531">
              <w:rPr>
                <w:rFonts w:ascii="Calibri" w:eastAsia="Calibri" w:hAnsi="Calibri" w:cs="Times New Roman"/>
              </w:rPr>
              <w:t>5.32%</w:t>
            </w:r>
          </w:p>
        </w:tc>
        <w:tc>
          <w:tcPr>
            <w:tcW w:w="1633" w:type="dxa"/>
          </w:tcPr>
          <w:p w:rsidR="00923EFF" w:rsidRPr="00166531" w:rsidRDefault="00125561" w:rsidP="000E425B">
            <w:pPr>
              <w:jc w:val="center"/>
              <w:rPr>
                <w:rFonts w:ascii="Calibri" w:eastAsia="Calibri" w:hAnsi="Calibri" w:cs="Times New Roman"/>
              </w:rPr>
            </w:pPr>
            <w:r w:rsidRPr="00166531">
              <w:rPr>
                <w:rFonts w:ascii="Calibri" w:eastAsia="Calibri" w:hAnsi="Calibri" w:cs="Times New Roman"/>
              </w:rPr>
              <w:t>6.99%</w:t>
            </w:r>
          </w:p>
        </w:tc>
        <w:tc>
          <w:tcPr>
            <w:tcW w:w="1373" w:type="dxa"/>
          </w:tcPr>
          <w:p w:rsidR="00923EFF" w:rsidRPr="00166531" w:rsidRDefault="00125561" w:rsidP="000E425B">
            <w:pPr>
              <w:jc w:val="center"/>
              <w:rPr>
                <w:rFonts w:ascii="Calibri" w:eastAsia="Calibri" w:hAnsi="Calibri" w:cs="Times New Roman"/>
              </w:rPr>
            </w:pPr>
            <w:r w:rsidRPr="00166531">
              <w:rPr>
                <w:rFonts w:ascii="Calibri" w:eastAsia="Calibri" w:hAnsi="Calibri" w:cs="Times New Roman"/>
              </w:rPr>
              <w:t>0.86%</w:t>
            </w:r>
          </w:p>
        </w:tc>
        <w:tc>
          <w:tcPr>
            <w:tcW w:w="1373" w:type="dxa"/>
          </w:tcPr>
          <w:p w:rsidR="00923EFF" w:rsidRPr="00166531" w:rsidRDefault="00125561" w:rsidP="000E425B">
            <w:pPr>
              <w:jc w:val="center"/>
              <w:rPr>
                <w:rFonts w:ascii="Calibri" w:eastAsia="Calibri" w:hAnsi="Calibri" w:cs="Times New Roman"/>
              </w:rPr>
            </w:pPr>
            <w:r w:rsidRPr="00166531">
              <w:rPr>
                <w:rFonts w:ascii="Calibri" w:eastAsia="Calibri" w:hAnsi="Calibri" w:cs="Times New Roman"/>
              </w:rPr>
              <w:t>12.6%</w:t>
            </w:r>
          </w:p>
        </w:tc>
        <w:tc>
          <w:tcPr>
            <w:tcW w:w="1502" w:type="dxa"/>
          </w:tcPr>
          <w:p w:rsidR="00923EFF" w:rsidRPr="00166531" w:rsidRDefault="00125561" w:rsidP="000E425B">
            <w:pPr>
              <w:jc w:val="center"/>
              <w:rPr>
                <w:rFonts w:ascii="Calibri" w:eastAsia="Calibri" w:hAnsi="Calibri" w:cs="Times New Roman"/>
              </w:rPr>
            </w:pPr>
            <w:r w:rsidRPr="00166531">
              <w:rPr>
                <w:rFonts w:ascii="Calibri" w:eastAsia="Calibri" w:hAnsi="Calibri" w:cs="Times New Roman"/>
              </w:rPr>
              <w:t>74.3%</w:t>
            </w:r>
          </w:p>
        </w:tc>
      </w:tr>
    </w:tbl>
    <w:p w:rsidR="00125561" w:rsidRPr="00166531" w:rsidRDefault="00125561" w:rsidP="000E425B">
      <w:pPr>
        <w:spacing w:after="0" w:line="240" w:lineRule="auto"/>
      </w:pPr>
    </w:p>
    <w:p w:rsidR="00B773AD" w:rsidRDefault="00923EFF" w:rsidP="000E425B">
      <w:pPr>
        <w:spacing w:after="0" w:line="240" w:lineRule="auto"/>
        <w:ind w:left="567" w:hanging="567"/>
        <w:jc w:val="both"/>
      </w:pPr>
      <w:r w:rsidRPr="00166531">
        <w:t>4.6</w:t>
      </w:r>
      <w:r w:rsidRPr="00166531">
        <w:tab/>
        <w:t>In session 202</w:t>
      </w:r>
      <w:r w:rsidR="00125561" w:rsidRPr="00166531">
        <w:t>3-</w:t>
      </w:r>
      <w:r w:rsidRPr="00166531">
        <w:t>2</w:t>
      </w:r>
      <w:r w:rsidR="000E425B">
        <w:t>02</w:t>
      </w:r>
      <w:r w:rsidR="00125561" w:rsidRPr="00166531">
        <w:t>4</w:t>
      </w:r>
      <w:r w:rsidRPr="00166531">
        <w:t xml:space="preserve">, Further Education – Part-time was </w:t>
      </w:r>
      <w:r w:rsidR="00D76724" w:rsidRPr="00166531">
        <w:t>19.3</w:t>
      </w:r>
      <w:r w:rsidRPr="00166531">
        <w:t xml:space="preserve"> % of </w:t>
      </w:r>
      <w:r w:rsidR="00D76724" w:rsidRPr="00166531">
        <w:t xml:space="preserve">SFC credit </w:t>
      </w:r>
      <w:r w:rsidRPr="00166531">
        <w:t>activity at New College Lanarkshire.</w:t>
      </w:r>
    </w:p>
    <w:p w:rsidR="000E425B" w:rsidRPr="00166531" w:rsidRDefault="000E425B" w:rsidP="000E425B">
      <w:pPr>
        <w:spacing w:after="0" w:line="240" w:lineRule="auto"/>
        <w:ind w:left="720" w:hanging="720"/>
      </w:pPr>
    </w:p>
    <w:p w:rsidR="00923EFF" w:rsidRDefault="000043E7" w:rsidP="000E425B">
      <w:pPr>
        <w:spacing w:after="0" w:line="240" w:lineRule="auto"/>
        <w:ind w:left="567" w:hanging="567"/>
      </w:pPr>
      <w:r w:rsidRPr="00166531">
        <w:t>4.7</w:t>
      </w:r>
      <w:r w:rsidRPr="00166531">
        <w:tab/>
        <w:t>KPI five-year tren</w:t>
      </w:r>
      <w:r w:rsidR="000E425B">
        <w:t xml:space="preserve">d – Higher </w:t>
      </w:r>
      <w:r w:rsidRPr="00166531">
        <w:t>Education – Full-time</w:t>
      </w:r>
    </w:p>
    <w:p w:rsidR="000E425B" w:rsidRDefault="000E425B" w:rsidP="000E425B">
      <w:pPr>
        <w:spacing w:after="0" w:line="240" w:lineRule="auto"/>
        <w:ind w:left="720" w:hanging="720"/>
      </w:pPr>
    </w:p>
    <w:p w:rsidR="000043E7" w:rsidRPr="000E425B" w:rsidRDefault="000043E7" w:rsidP="000E425B">
      <w:pPr>
        <w:spacing w:after="0" w:line="240" w:lineRule="auto"/>
        <w:ind w:left="720" w:hanging="720"/>
        <w:rPr>
          <w:b/>
        </w:rPr>
      </w:pPr>
      <w:r w:rsidRPr="000E425B">
        <w:rPr>
          <w:b/>
        </w:rPr>
        <w:t>Table 5</w:t>
      </w:r>
    </w:p>
    <w:p w:rsidR="000E425B" w:rsidRPr="00166531" w:rsidRDefault="000E425B" w:rsidP="000E425B">
      <w:pPr>
        <w:spacing w:after="0" w:line="240" w:lineRule="auto"/>
        <w:ind w:left="720" w:hanging="720"/>
      </w:pPr>
    </w:p>
    <w:tbl>
      <w:tblPr>
        <w:tblStyle w:val="TableGrid32"/>
        <w:tblW w:w="0" w:type="auto"/>
        <w:tblLook w:val="04A0" w:firstRow="1" w:lastRow="0" w:firstColumn="1" w:lastColumn="0" w:noHBand="0" w:noVBand="1"/>
      </w:tblPr>
      <w:tblGrid>
        <w:gridCol w:w="1503"/>
        <w:gridCol w:w="1654"/>
        <w:gridCol w:w="1654"/>
        <w:gridCol w:w="1351"/>
        <w:gridCol w:w="1351"/>
        <w:gridCol w:w="1503"/>
      </w:tblGrid>
      <w:tr w:rsidR="000043E7" w:rsidRPr="00166531" w:rsidTr="000043E7">
        <w:tc>
          <w:tcPr>
            <w:tcW w:w="1503" w:type="dxa"/>
          </w:tcPr>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Academic Year</w:t>
            </w:r>
          </w:p>
        </w:tc>
        <w:tc>
          <w:tcPr>
            <w:tcW w:w="1654" w:type="dxa"/>
          </w:tcPr>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Early Withdrawal</w:t>
            </w:r>
          </w:p>
        </w:tc>
        <w:tc>
          <w:tcPr>
            <w:tcW w:w="1654" w:type="dxa"/>
          </w:tcPr>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Further Withdrawal</w:t>
            </w:r>
          </w:p>
        </w:tc>
        <w:tc>
          <w:tcPr>
            <w:tcW w:w="1351" w:type="dxa"/>
          </w:tcPr>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Partial Success</w:t>
            </w:r>
          </w:p>
        </w:tc>
        <w:tc>
          <w:tcPr>
            <w:tcW w:w="1351" w:type="dxa"/>
          </w:tcPr>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Success</w:t>
            </w:r>
          </w:p>
        </w:tc>
        <w:tc>
          <w:tcPr>
            <w:tcW w:w="1503" w:type="dxa"/>
          </w:tcPr>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Unknown result at</w:t>
            </w:r>
          </w:p>
          <w:p w:rsidR="000043E7" w:rsidRPr="00166531" w:rsidRDefault="000043E7" w:rsidP="000043E7">
            <w:pPr>
              <w:jc w:val="center"/>
              <w:rPr>
                <w:rFonts w:ascii="Calibri" w:eastAsia="Calibri" w:hAnsi="Calibri" w:cs="Times New Roman"/>
                <w:b/>
              </w:rPr>
            </w:pPr>
            <w:r w:rsidRPr="00166531">
              <w:rPr>
                <w:rFonts w:ascii="Calibri" w:eastAsia="Calibri" w:hAnsi="Calibri" w:cs="Times New Roman"/>
                <w:b/>
              </w:rPr>
              <w:t>31.7.24</w:t>
            </w:r>
          </w:p>
        </w:tc>
      </w:tr>
      <w:tr w:rsidR="000043E7" w:rsidRPr="00166531" w:rsidTr="000043E7">
        <w:tc>
          <w:tcPr>
            <w:tcW w:w="1503"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2019-2</w:t>
            </w:r>
            <w:r w:rsidR="000E425B">
              <w:rPr>
                <w:rFonts w:ascii="Calibri" w:eastAsia="Calibri" w:hAnsi="Calibri" w:cs="Times New Roman"/>
              </w:rPr>
              <w:t>02</w:t>
            </w:r>
            <w:r w:rsidRPr="00166531">
              <w:rPr>
                <w:rFonts w:ascii="Calibri" w:eastAsia="Calibri" w:hAnsi="Calibri" w:cs="Times New Roman"/>
              </w:rPr>
              <w:t>0</w:t>
            </w:r>
          </w:p>
        </w:tc>
        <w:tc>
          <w:tcPr>
            <w:tcW w:w="1654"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6.28%</w:t>
            </w:r>
          </w:p>
        </w:tc>
        <w:tc>
          <w:tcPr>
            <w:tcW w:w="1654"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10.63%</w:t>
            </w:r>
          </w:p>
        </w:tc>
        <w:tc>
          <w:tcPr>
            <w:tcW w:w="1351"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11.73%</w:t>
            </w:r>
          </w:p>
        </w:tc>
        <w:tc>
          <w:tcPr>
            <w:tcW w:w="1351"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71.36%</w:t>
            </w:r>
          </w:p>
        </w:tc>
        <w:tc>
          <w:tcPr>
            <w:tcW w:w="1503" w:type="dxa"/>
          </w:tcPr>
          <w:p w:rsidR="000043E7" w:rsidRPr="00166531" w:rsidRDefault="000043E7" w:rsidP="000043E7">
            <w:pPr>
              <w:jc w:val="center"/>
              <w:rPr>
                <w:rFonts w:ascii="Calibri" w:eastAsia="Calibri" w:hAnsi="Calibri" w:cs="Times New Roman"/>
              </w:rPr>
            </w:pPr>
          </w:p>
        </w:tc>
      </w:tr>
      <w:tr w:rsidR="000043E7" w:rsidRPr="00166531" w:rsidTr="000043E7">
        <w:tc>
          <w:tcPr>
            <w:tcW w:w="1503"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2020-2</w:t>
            </w:r>
            <w:r w:rsidR="000E425B">
              <w:rPr>
                <w:rFonts w:ascii="Calibri" w:eastAsia="Calibri" w:hAnsi="Calibri" w:cs="Times New Roman"/>
              </w:rPr>
              <w:t>02</w:t>
            </w:r>
            <w:r w:rsidRPr="00166531">
              <w:rPr>
                <w:rFonts w:ascii="Calibri" w:eastAsia="Calibri" w:hAnsi="Calibri" w:cs="Times New Roman"/>
              </w:rPr>
              <w:t>1</w:t>
            </w:r>
          </w:p>
        </w:tc>
        <w:tc>
          <w:tcPr>
            <w:tcW w:w="1654"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5.41%</w:t>
            </w:r>
          </w:p>
        </w:tc>
        <w:tc>
          <w:tcPr>
            <w:tcW w:w="1654"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14.65%</w:t>
            </w:r>
          </w:p>
        </w:tc>
        <w:tc>
          <w:tcPr>
            <w:tcW w:w="1351"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16.1%</w:t>
            </w:r>
          </w:p>
        </w:tc>
        <w:tc>
          <w:tcPr>
            <w:tcW w:w="1351"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63.84%</w:t>
            </w:r>
          </w:p>
        </w:tc>
        <w:tc>
          <w:tcPr>
            <w:tcW w:w="1503" w:type="dxa"/>
          </w:tcPr>
          <w:p w:rsidR="000043E7" w:rsidRPr="00166531" w:rsidRDefault="000043E7" w:rsidP="000043E7">
            <w:pPr>
              <w:jc w:val="center"/>
              <w:rPr>
                <w:rFonts w:ascii="Calibri" w:eastAsia="Calibri" w:hAnsi="Calibri" w:cs="Times New Roman"/>
              </w:rPr>
            </w:pPr>
          </w:p>
        </w:tc>
      </w:tr>
      <w:tr w:rsidR="000043E7" w:rsidRPr="00166531" w:rsidTr="000043E7">
        <w:tc>
          <w:tcPr>
            <w:tcW w:w="1503"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2021-2</w:t>
            </w:r>
            <w:r w:rsidR="000E425B">
              <w:rPr>
                <w:rFonts w:ascii="Calibri" w:eastAsia="Calibri" w:hAnsi="Calibri" w:cs="Times New Roman"/>
              </w:rPr>
              <w:t>02</w:t>
            </w:r>
            <w:r w:rsidRPr="00166531">
              <w:rPr>
                <w:rFonts w:ascii="Calibri" w:eastAsia="Calibri" w:hAnsi="Calibri" w:cs="Times New Roman"/>
              </w:rPr>
              <w:t>2</w:t>
            </w:r>
          </w:p>
        </w:tc>
        <w:tc>
          <w:tcPr>
            <w:tcW w:w="1654"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7.2%</w:t>
            </w:r>
          </w:p>
        </w:tc>
        <w:tc>
          <w:tcPr>
            <w:tcW w:w="1654"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18%</w:t>
            </w:r>
          </w:p>
        </w:tc>
        <w:tc>
          <w:tcPr>
            <w:tcW w:w="1351"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14.7%</w:t>
            </w:r>
          </w:p>
        </w:tc>
        <w:tc>
          <w:tcPr>
            <w:tcW w:w="1351" w:type="dxa"/>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60.1%</w:t>
            </w:r>
          </w:p>
        </w:tc>
        <w:tc>
          <w:tcPr>
            <w:tcW w:w="1503" w:type="dxa"/>
          </w:tcPr>
          <w:p w:rsidR="000043E7" w:rsidRPr="00166531" w:rsidRDefault="000043E7" w:rsidP="000043E7">
            <w:pPr>
              <w:jc w:val="center"/>
              <w:rPr>
                <w:rFonts w:ascii="Calibri" w:eastAsia="Calibri" w:hAnsi="Calibri" w:cs="Times New Roman"/>
              </w:rPr>
            </w:pPr>
          </w:p>
        </w:tc>
      </w:tr>
      <w:tr w:rsidR="000043E7" w:rsidRPr="00166531" w:rsidTr="000E425B">
        <w:tc>
          <w:tcPr>
            <w:tcW w:w="1503"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2022-2</w:t>
            </w:r>
            <w:r w:rsidR="000E425B">
              <w:rPr>
                <w:rFonts w:ascii="Calibri" w:eastAsia="Calibri" w:hAnsi="Calibri" w:cs="Times New Roman"/>
              </w:rPr>
              <w:t>02</w:t>
            </w:r>
            <w:r w:rsidRPr="00166531">
              <w:rPr>
                <w:rFonts w:ascii="Calibri" w:eastAsia="Calibri" w:hAnsi="Calibri" w:cs="Times New Roman"/>
              </w:rPr>
              <w:t>3</w:t>
            </w:r>
          </w:p>
        </w:tc>
        <w:tc>
          <w:tcPr>
            <w:tcW w:w="1654"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7.7%</w:t>
            </w:r>
          </w:p>
        </w:tc>
        <w:tc>
          <w:tcPr>
            <w:tcW w:w="1654"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13.9%</w:t>
            </w:r>
          </w:p>
        </w:tc>
        <w:tc>
          <w:tcPr>
            <w:tcW w:w="1351"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0.48%</w:t>
            </w:r>
          </w:p>
        </w:tc>
        <w:tc>
          <w:tcPr>
            <w:tcW w:w="1351"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3.53%</w:t>
            </w:r>
          </w:p>
        </w:tc>
        <w:tc>
          <w:tcPr>
            <w:tcW w:w="1503"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74.3%</w:t>
            </w:r>
          </w:p>
        </w:tc>
      </w:tr>
      <w:tr w:rsidR="000043E7" w:rsidRPr="00166531" w:rsidTr="000E425B">
        <w:tc>
          <w:tcPr>
            <w:tcW w:w="1503" w:type="dxa"/>
            <w:tcBorders>
              <w:bottom w:val="single" w:sz="4" w:space="0" w:color="auto"/>
            </w:tcBorders>
          </w:tcPr>
          <w:p w:rsidR="000043E7" w:rsidRPr="00166531" w:rsidRDefault="000043E7" w:rsidP="000043E7">
            <w:pPr>
              <w:jc w:val="center"/>
              <w:rPr>
                <w:rFonts w:ascii="Calibri" w:eastAsia="Calibri" w:hAnsi="Calibri" w:cs="Times New Roman"/>
              </w:rPr>
            </w:pPr>
            <w:r w:rsidRPr="00166531">
              <w:rPr>
                <w:rFonts w:ascii="Calibri" w:eastAsia="Calibri" w:hAnsi="Calibri" w:cs="Times New Roman"/>
              </w:rPr>
              <w:t>2023-2</w:t>
            </w:r>
            <w:r w:rsidR="000E425B">
              <w:rPr>
                <w:rFonts w:ascii="Calibri" w:eastAsia="Calibri" w:hAnsi="Calibri" w:cs="Times New Roman"/>
              </w:rPr>
              <w:t>02</w:t>
            </w:r>
            <w:r w:rsidRPr="00166531">
              <w:rPr>
                <w:rFonts w:ascii="Calibri" w:eastAsia="Calibri" w:hAnsi="Calibri" w:cs="Times New Roman"/>
              </w:rPr>
              <w:t>4</w:t>
            </w:r>
          </w:p>
        </w:tc>
        <w:tc>
          <w:tcPr>
            <w:tcW w:w="1654" w:type="dxa"/>
            <w:tcBorders>
              <w:bottom w:val="single" w:sz="4" w:space="0" w:color="auto"/>
            </w:tcBorders>
          </w:tcPr>
          <w:p w:rsidR="000043E7" w:rsidRPr="00166531" w:rsidRDefault="00125561" w:rsidP="000043E7">
            <w:pPr>
              <w:jc w:val="center"/>
              <w:rPr>
                <w:rFonts w:ascii="Calibri" w:eastAsia="Calibri" w:hAnsi="Calibri" w:cs="Times New Roman"/>
              </w:rPr>
            </w:pPr>
            <w:r w:rsidRPr="00166531">
              <w:rPr>
                <w:rFonts w:ascii="Calibri" w:eastAsia="Calibri" w:hAnsi="Calibri" w:cs="Times New Roman"/>
              </w:rPr>
              <w:t>4.44%</w:t>
            </w:r>
          </w:p>
        </w:tc>
        <w:tc>
          <w:tcPr>
            <w:tcW w:w="1654" w:type="dxa"/>
            <w:tcBorders>
              <w:bottom w:val="single" w:sz="4" w:space="0" w:color="auto"/>
            </w:tcBorders>
          </w:tcPr>
          <w:p w:rsidR="000043E7" w:rsidRPr="00166531" w:rsidRDefault="00125561" w:rsidP="000043E7">
            <w:pPr>
              <w:jc w:val="center"/>
              <w:rPr>
                <w:rFonts w:ascii="Calibri" w:eastAsia="Calibri" w:hAnsi="Calibri" w:cs="Times New Roman"/>
              </w:rPr>
            </w:pPr>
            <w:r w:rsidRPr="00166531">
              <w:rPr>
                <w:rFonts w:ascii="Calibri" w:eastAsia="Calibri" w:hAnsi="Calibri" w:cs="Times New Roman"/>
              </w:rPr>
              <w:t>18.7%</w:t>
            </w:r>
          </w:p>
        </w:tc>
        <w:tc>
          <w:tcPr>
            <w:tcW w:w="1351" w:type="dxa"/>
            <w:tcBorders>
              <w:bottom w:val="single" w:sz="4" w:space="0" w:color="auto"/>
            </w:tcBorders>
          </w:tcPr>
          <w:p w:rsidR="000043E7" w:rsidRPr="00166531" w:rsidRDefault="00125561" w:rsidP="000043E7">
            <w:pPr>
              <w:jc w:val="center"/>
              <w:rPr>
                <w:rFonts w:ascii="Calibri" w:eastAsia="Calibri" w:hAnsi="Calibri" w:cs="Times New Roman"/>
              </w:rPr>
            </w:pPr>
            <w:r w:rsidRPr="00166531">
              <w:rPr>
                <w:rFonts w:ascii="Calibri" w:eastAsia="Calibri" w:hAnsi="Calibri" w:cs="Times New Roman"/>
              </w:rPr>
              <w:t xml:space="preserve">- </w:t>
            </w:r>
          </w:p>
        </w:tc>
        <w:tc>
          <w:tcPr>
            <w:tcW w:w="1351" w:type="dxa"/>
            <w:tcBorders>
              <w:bottom w:val="single" w:sz="4" w:space="0" w:color="auto"/>
            </w:tcBorders>
          </w:tcPr>
          <w:p w:rsidR="000043E7" w:rsidRPr="00166531" w:rsidRDefault="00125561" w:rsidP="000043E7">
            <w:pPr>
              <w:jc w:val="center"/>
              <w:rPr>
                <w:rFonts w:ascii="Calibri" w:eastAsia="Calibri" w:hAnsi="Calibri" w:cs="Times New Roman"/>
              </w:rPr>
            </w:pPr>
            <w:r w:rsidRPr="00166531">
              <w:rPr>
                <w:rFonts w:ascii="Calibri" w:eastAsia="Calibri" w:hAnsi="Calibri" w:cs="Times New Roman"/>
              </w:rPr>
              <w:t xml:space="preserve">- </w:t>
            </w:r>
          </w:p>
        </w:tc>
        <w:tc>
          <w:tcPr>
            <w:tcW w:w="1503" w:type="dxa"/>
            <w:tcBorders>
              <w:bottom w:val="single" w:sz="4" w:space="0" w:color="auto"/>
            </w:tcBorders>
          </w:tcPr>
          <w:p w:rsidR="000043E7" w:rsidRPr="00166531" w:rsidRDefault="00125561" w:rsidP="000043E7">
            <w:pPr>
              <w:jc w:val="center"/>
              <w:rPr>
                <w:rFonts w:ascii="Calibri" w:eastAsia="Calibri" w:hAnsi="Calibri" w:cs="Times New Roman"/>
              </w:rPr>
            </w:pPr>
            <w:r w:rsidRPr="00166531">
              <w:rPr>
                <w:rFonts w:ascii="Calibri" w:eastAsia="Calibri" w:hAnsi="Calibri" w:cs="Times New Roman"/>
              </w:rPr>
              <w:t>76.9%</w:t>
            </w:r>
          </w:p>
        </w:tc>
      </w:tr>
    </w:tbl>
    <w:p w:rsidR="00125561" w:rsidRPr="00166531" w:rsidRDefault="00125561" w:rsidP="000E425B">
      <w:pPr>
        <w:spacing w:after="0" w:line="240" w:lineRule="auto"/>
      </w:pPr>
    </w:p>
    <w:p w:rsidR="000043E7" w:rsidRDefault="000043E7" w:rsidP="000E425B">
      <w:pPr>
        <w:spacing w:after="0" w:line="240" w:lineRule="auto"/>
        <w:ind w:left="567" w:hanging="567"/>
        <w:jc w:val="both"/>
      </w:pPr>
      <w:r w:rsidRPr="00166531">
        <w:t>4.8</w:t>
      </w:r>
      <w:r w:rsidRPr="00166531">
        <w:tab/>
        <w:t>In session 202</w:t>
      </w:r>
      <w:r w:rsidR="00125561" w:rsidRPr="00166531">
        <w:t>3 -</w:t>
      </w:r>
      <w:r w:rsidRPr="00166531">
        <w:t>2</w:t>
      </w:r>
      <w:r w:rsidR="00125561" w:rsidRPr="00166531">
        <w:t>4</w:t>
      </w:r>
      <w:r w:rsidRPr="00166531">
        <w:t xml:space="preserve">, Higher Education – Full-time was </w:t>
      </w:r>
      <w:r w:rsidR="00D76724" w:rsidRPr="00166531">
        <w:t>25.3</w:t>
      </w:r>
      <w:r w:rsidRPr="00166531">
        <w:t xml:space="preserve"> % of </w:t>
      </w:r>
      <w:r w:rsidR="00D76724" w:rsidRPr="00166531">
        <w:t xml:space="preserve">SFC credit </w:t>
      </w:r>
      <w:r w:rsidRPr="00166531">
        <w:t>activity at New College Lanarkshire.</w:t>
      </w:r>
    </w:p>
    <w:p w:rsidR="000E425B" w:rsidRPr="00166531" w:rsidRDefault="000E425B" w:rsidP="000E425B">
      <w:pPr>
        <w:spacing w:after="0" w:line="240" w:lineRule="auto"/>
        <w:ind w:left="720" w:hanging="720"/>
      </w:pPr>
    </w:p>
    <w:p w:rsidR="000043E7" w:rsidRDefault="000043E7" w:rsidP="000E425B">
      <w:pPr>
        <w:spacing w:after="0" w:line="240" w:lineRule="auto"/>
        <w:ind w:left="567" w:hanging="567"/>
      </w:pPr>
      <w:r w:rsidRPr="00166531">
        <w:t xml:space="preserve">4.9 </w:t>
      </w:r>
      <w:r w:rsidRPr="00166531">
        <w:tab/>
        <w:t>KPI five-year tren</w:t>
      </w:r>
      <w:r w:rsidR="000E425B">
        <w:t xml:space="preserve">d – Higher </w:t>
      </w:r>
      <w:r w:rsidRPr="00166531">
        <w:t>Education – Part-time</w:t>
      </w:r>
    </w:p>
    <w:p w:rsidR="000E425B" w:rsidRDefault="000E425B" w:rsidP="000E425B">
      <w:pPr>
        <w:spacing w:after="0" w:line="240" w:lineRule="auto"/>
      </w:pPr>
    </w:p>
    <w:p w:rsidR="000043E7" w:rsidRPr="000E425B" w:rsidRDefault="000043E7" w:rsidP="000E425B">
      <w:pPr>
        <w:spacing w:after="0" w:line="240" w:lineRule="auto"/>
        <w:ind w:left="720" w:hanging="720"/>
        <w:rPr>
          <w:b/>
        </w:rPr>
      </w:pPr>
      <w:r w:rsidRPr="000E425B">
        <w:rPr>
          <w:b/>
        </w:rPr>
        <w:t>Table 6</w:t>
      </w:r>
    </w:p>
    <w:p w:rsidR="000E425B" w:rsidRPr="00166531" w:rsidRDefault="000E425B" w:rsidP="000E425B">
      <w:pPr>
        <w:spacing w:after="0" w:line="240" w:lineRule="auto"/>
        <w:ind w:left="720" w:hanging="720"/>
      </w:pPr>
    </w:p>
    <w:tbl>
      <w:tblPr>
        <w:tblStyle w:val="TableGrid41"/>
        <w:tblW w:w="0" w:type="auto"/>
        <w:tblLook w:val="04A0" w:firstRow="1" w:lastRow="0" w:firstColumn="1" w:lastColumn="0" w:noHBand="0" w:noVBand="1"/>
      </w:tblPr>
      <w:tblGrid>
        <w:gridCol w:w="1503"/>
        <w:gridCol w:w="1632"/>
        <w:gridCol w:w="1633"/>
        <w:gridCol w:w="1373"/>
        <w:gridCol w:w="1373"/>
        <w:gridCol w:w="1502"/>
      </w:tblGrid>
      <w:tr w:rsidR="000043E7" w:rsidRPr="00166531" w:rsidTr="000043E7">
        <w:tc>
          <w:tcPr>
            <w:tcW w:w="1503" w:type="dxa"/>
          </w:tcPr>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Academic Year</w:t>
            </w:r>
          </w:p>
        </w:tc>
        <w:tc>
          <w:tcPr>
            <w:tcW w:w="1632" w:type="dxa"/>
          </w:tcPr>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Early Withdrawal</w:t>
            </w:r>
          </w:p>
        </w:tc>
        <w:tc>
          <w:tcPr>
            <w:tcW w:w="1633" w:type="dxa"/>
          </w:tcPr>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Further Withdrawal</w:t>
            </w:r>
          </w:p>
        </w:tc>
        <w:tc>
          <w:tcPr>
            <w:tcW w:w="1373" w:type="dxa"/>
          </w:tcPr>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Partial Success</w:t>
            </w:r>
          </w:p>
        </w:tc>
        <w:tc>
          <w:tcPr>
            <w:tcW w:w="1373" w:type="dxa"/>
          </w:tcPr>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Success</w:t>
            </w:r>
          </w:p>
        </w:tc>
        <w:tc>
          <w:tcPr>
            <w:tcW w:w="1502" w:type="dxa"/>
          </w:tcPr>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 xml:space="preserve">Unknown result at </w:t>
            </w:r>
          </w:p>
          <w:p w:rsidR="000043E7" w:rsidRPr="00166531" w:rsidRDefault="000043E7" w:rsidP="000E425B">
            <w:pPr>
              <w:jc w:val="center"/>
              <w:rPr>
                <w:rFonts w:ascii="Calibri" w:eastAsia="Calibri" w:hAnsi="Calibri" w:cs="Times New Roman"/>
                <w:b/>
              </w:rPr>
            </w:pPr>
            <w:r w:rsidRPr="00166531">
              <w:rPr>
                <w:rFonts w:ascii="Calibri" w:eastAsia="Calibri" w:hAnsi="Calibri" w:cs="Times New Roman"/>
                <w:b/>
              </w:rPr>
              <w:t>31.7.24</w:t>
            </w:r>
          </w:p>
        </w:tc>
      </w:tr>
      <w:tr w:rsidR="000043E7" w:rsidRPr="00166531" w:rsidTr="000043E7">
        <w:tc>
          <w:tcPr>
            <w:tcW w:w="150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2019-2</w:t>
            </w:r>
            <w:r w:rsidR="000E425B">
              <w:rPr>
                <w:rFonts w:ascii="Calibri" w:eastAsia="Calibri" w:hAnsi="Calibri" w:cs="Times New Roman"/>
              </w:rPr>
              <w:t>02</w:t>
            </w:r>
            <w:r w:rsidRPr="00166531">
              <w:rPr>
                <w:rFonts w:ascii="Calibri" w:eastAsia="Calibri" w:hAnsi="Calibri" w:cs="Times New Roman"/>
              </w:rPr>
              <w:t>0</w:t>
            </w:r>
          </w:p>
        </w:tc>
        <w:tc>
          <w:tcPr>
            <w:tcW w:w="1632"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6.98%</w:t>
            </w:r>
          </w:p>
        </w:tc>
        <w:tc>
          <w:tcPr>
            <w:tcW w:w="163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7.36%</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7.56%</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78.1%</w:t>
            </w:r>
          </w:p>
        </w:tc>
        <w:tc>
          <w:tcPr>
            <w:tcW w:w="1502" w:type="dxa"/>
          </w:tcPr>
          <w:p w:rsidR="000043E7" w:rsidRPr="00166531" w:rsidRDefault="000043E7" w:rsidP="000E425B">
            <w:pPr>
              <w:jc w:val="center"/>
              <w:rPr>
                <w:rFonts w:ascii="Calibri" w:eastAsia="Calibri" w:hAnsi="Calibri" w:cs="Times New Roman"/>
              </w:rPr>
            </w:pPr>
          </w:p>
        </w:tc>
      </w:tr>
      <w:tr w:rsidR="000043E7" w:rsidRPr="00166531" w:rsidTr="000043E7">
        <w:tc>
          <w:tcPr>
            <w:tcW w:w="150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2020-2</w:t>
            </w:r>
            <w:r w:rsidR="000E425B">
              <w:rPr>
                <w:rFonts w:ascii="Calibri" w:eastAsia="Calibri" w:hAnsi="Calibri" w:cs="Times New Roman"/>
              </w:rPr>
              <w:t>02</w:t>
            </w:r>
            <w:r w:rsidRPr="00166531">
              <w:rPr>
                <w:rFonts w:ascii="Calibri" w:eastAsia="Calibri" w:hAnsi="Calibri" w:cs="Times New Roman"/>
              </w:rPr>
              <w:t>1</w:t>
            </w:r>
          </w:p>
        </w:tc>
        <w:tc>
          <w:tcPr>
            <w:tcW w:w="1632"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2.6%</w:t>
            </w:r>
          </w:p>
        </w:tc>
        <w:tc>
          <w:tcPr>
            <w:tcW w:w="163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4.5%</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20.08%</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72.81%</w:t>
            </w:r>
          </w:p>
        </w:tc>
        <w:tc>
          <w:tcPr>
            <w:tcW w:w="1502" w:type="dxa"/>
          </w:tcPr>
          <w:p w:rsidR="000043E7" w:rsidRPr="00166531" w:rsidRDefault="000043E7" w:rsidP="000E425B">
            <w:pPr>
              <w:jc w:val="center"/>
              <w:rPr>
                <w:rFonts w:ascii="Calibri" w:eastAsia="Calibri" w:hAnsi="Calibri" w:cs="Times New Roman"/>
              </w:rPr>
            </w:pPr>
          </w:p>
        </w:tc>
      </w:tr>
      <w:tr w:rsidR="000043E7" w:rsidRPr="00166531" w:rsidTr="000043E7">
        <w:tc>
          <w:tcPr>
            <w:tcW w:w="150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2021-2</w:t>
            </w:r>
            <w:r w:rsidR="000E425B">
              <w:rPr>
                <w:rFonts w:ascii="Calibri" w:eastAsia="Calibri" w:hAnsi="Calibri" w:cs="Times New Roman"/>
              </w:rPr>
              <w:t>02</w:t>
            </w:r>
            <w:r w:rsidRPr="00166531">
              <w:rPr>
                <w:rFonts w:ascii="Calibri" w:eastAsia="Calibri" w:hAnsi="Calibri" w:cs="Times New Roman"/>
              </w:rPr>
              <w:t>2</w:t>
            </w:r>
          </w:p>
        </w:tc>
        <w:tc>
          <w:tcPr>
            <w:tcW w:w="1632"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5.21%</w:t>
            </w:r>
          </w:p>
        </w:tc>
        <w:tc>
          <w:tcPr>
            <w:tcW w:w="163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4.69%</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15.28%</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72.4%</w:t>
            </w:r>
          </w:p>
        </w:tc>
        <w:tc>
          <w:tcPr>
            <w:tcW w:w="1502" w:type="dxa"/>
          </w:tcPr>
          <w:p w:rsidR="000043E7" w:rsidRPr="00166531" w:rsidRDefault="000043E7" w:rsidP="000E425B">
            <w:pPr>
              <w:jc w:val="center"/>
              <w:rPr>
                <w:rFonts w:ascii="Calibri" w:eastAsia="Calibri" w:hAnsi="Calibri" w:cs="Times New Roman"/>
              </w:rPr>
            </w:pPr>
          </w:p>
        </w:tc>
      </w:tr>
      <w:tr w:rsidR="000043E7" w:rsidRPr="00166531" w:rsidTr="000043E7">
        <w:tc>
          <w:tcPr>
            <w:tcW w:w="150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2022-2</w:t>
            </w:r>
            <w:r w:rsidR="000E425B">
              <w:rPr>
                <w:rFonts w:ascii="Calibri" w:eastAsia="Calibri" w:hAnsi="Calibri" w:cs="Times New Roman"/>
              </w:rPr>
              <w:t>02</w:t>
            </w:r>
            <w:r w:rsidRPr="00166531">
              <w:rPr>
                <w:rFonts w:ascii="Calibri" w:eastAsia="Calibri" w:hAnsi="Calibri" w:cs="Times New Roman"/>
              </w:rPr>
              <w:t>3</w:t>
            </w:r>
          </w:p>
        </w:tc>
        <w:tc>
          <w:tcPr>
            <w:tcW w:w="1632"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9.7%</w:t>
            </w:r>
          </w:p>
        </w:tc>
        <w:tc>
          <w:tcPr>
            <w:tcW w:w="163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6.74%</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5.87%</w:t>
            </w:r>
          </w:p>
        </w:tc>
        <w:tc>
          <w:tcPr>
            <w:tcW w:w="137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14.08%</w:t>
            </w:r>
          </w:p>
        </w:tc>
        <w:tc>
          <w:tcPr>
            <w:tcW w:w="1502"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63.6%</w:t>
            </w:r>
          </w:p>
        </w:tc>
      </w:tr>
      <w:tr w:rsidR="000043E7" w:rsidRPr="00166531" w:rsidTr="000043E7">
        <w:tc>
          <w:tcPr>
            <w:tcW w:w="1503" w:type="dxa"/>
          </w:tcPr>
          <w:p w:rsidR="000043E7" w:rsidRPr="00166531" w:rsidRDefault="000043E7" w:rsidP="000E425B">
            <w:pPr>
              <w:jc w:val="center"/>
              <w:rPr>
                <w:rFonts w:ascii="Calibri" w:eastAsia="Calibri" w:hAnsi="Calibri" w:cs="Times New Roman"/>
              </w:rPr>
            </w:pPr>
            <w:r w:rsidRPr="00166531">
              <w:rPr>
                <w:rFonts w:ascii="Calibri" w:eastAsia="Calibri" w:hAnsi="Calibri" w:cs="Times New Roman"/>
              </w:rPr>
              <w:t>2033-2</w:t>
            </w:r>
            <w:r w:rsidR="000E425B">
              <w:rPr>
                <w:rFonts w:ascii="Calibri" w:eastAsia="Calibri" w:hAnsi="Calibri" w:cs="Times New Roman"/>
              </w:rPr>
              <w:t>02</w:t>
            </w:r>
            <w:r w:rsidRPr="00166531">
              <w:rPr>
                <w:rFonts w:ascii="Calibri" w:eastAsia="Calibri" w:hAnsi="Calibri" w:cs="Times New Roman"/>
              </w:rPr>
              <w:t>4</w:t>
            </w:r>
          </w:p>
        </w:tc>
        <w:tc>
          <w:tcPr>
            <w:tcW w:w="1632" w:type="dxa"/>
          </w:tcPr>
          <w:p w:rsidR="000043E7" w:rsidRPr="00166531" w:rsidRDefault="00125561" w:rsidP="000E425B">
            <w:pPr>
              <w:jc w:val="center"/>
              <w:rPr>
                <w:rFonts w:ascii="Calibri" w:eastAsia="Calibri" w:hAnsi="Calibri" w:cs="Times New Roman"/>
              </w:rPr>
            </w:pPr>
            <w:r w:rsidRPr="00166531">
              <w:rPr>
                <w:rFonts w:ascii="Calibri" w:eastAsia="Calibri" w:hAnsi="Calibri" w:cs="Times New Roman"/>
              </w:rPr>
              <w:t>5.81%</w:t>
            </w:r>
          </w:p>
        </w:tc>
        <w:tc>
          <w:tcPr>
            <w:tcW w:w="1633" w:type="dxa"/>
          </w:tcPr>
          <w:p w:rsidR="000043E7" w:rsidRPr="00166531" w:rsidRDefault="00125561" w:rsidP="000E425B">
            <w:pPr>
              <w:jc w:val="center"/>
              <w:rPr>
                <w:rFonts w:ascii="Calibri" w:eastAsia="Calibri" w:hAnsi="Calibri" w:cs="Times New Roman"/>
              </w:rPr>
            </w:pPr>
            <w:r w:rsidRPr="00166531">
              <w:rPr>
                <w:rFonts w:ascii="Calibri" w:eastAsia="Calibri" w:hAnsi="Calibri" w:cs="Times New Roman"/>
              </w:rPr>
              <w:t>8.1%</w:t>
            </w:r>
          </w:p>
        </w:tc>
        <w:tc>
          <w:tcPr>
            <w:tcW w:w="1373" w:type="dxa"/>
          </w:tcPr>
          <w:p w:rsidR="000043E7" w:rsidRPr="00166531" w:rsidRDefault="00125561" w:rsidP="000E425B">
            <w:pPr>
              <w:jc w:val="center"/>
              <w:rPr>
                <w:rFonts w:ascii="Calibri" w:eastAsia="Calibri" w:hAnsi="Calibri" w:cs="Times New Roman"/>
              </w:rPr>
            </w:pPr>
            <w:r w:rsidRPr="00166531">
              <w:rPr>
                <w:rFonts w:ascii="Calibri" w:eastAsia="Calibri" w:hAnsi="Calibri" w:cs="Times New Roman"/>
              </w:rPr>
              <w:t>3.1%</w:t>
            </w:r>
          </w:p>
        </w:tc>
        <w:tc>
          <w:tcPr>
            <w:tcW w:w="1373" w:type="dxa"/>
          </w:tcPr>
          <w:p w:rsidR="000043E7" w:rsidRPr="00166531" w:rsidRDefault="00125561" w:rsidP="000E425B">
            <w:pPr>
              <w:jc w:val="center"/>
              <w:rPr>
                <w:rFonts w:ascii="Calibri" w:eastAsia="Calibri" w:hAnsi="Calibri" w:cs="Times New Roman"/>
              </w:rPr>
            </w:pPr>
            <w:r w:rsidRPr="00166531">
              <w:rPr>
                <w:rFonts w:ascii="Calibri" w:eastAsia="Calibri" w:hAnsi="Calibri" w:cs="Times New Roman"/>
              </w:rPr>
              <w:t>2.13%</w:t>
            </w:r>
          </w:p>
        </w:tc>
        <w:tc>
          <w:tcPr>
            <w:tcW w:w="1502" w:type="dxa"/>
          </w:tcPr>
          <w:p w:rsidR="000043E7" w:rsidRPr="00166531" w:rsidRDefault="00125561" w:rsidP="000E425B">
            <w:pPr>
              <w:jc w:val="center"/>
              <w:rPr>
                <w:rFonts w:ascii="Calibri" w:eastAsia="Calibri" w:hAnsi="Calibri" w:cs="Times New Roman"/>
              </w:rPr>
            </w:pPr>
            <w:r w:rsidRPr="00166531">
              <w:rPr>
                <w:rFonts w:ascii="Calibri" w:eastAsia="Calibri" w:hAnsi="Calibri" w:cs="Times New Roman"/>
              </w:rPr>
              <w:t>80.8%</w:t>
            </w:r>
          </w:p>
        </w:tc>
      </w:tr>
    </w:tbl>
    <w:p w:rsidR="00125561" w:rsidRPr="00166531" w:rsidRDefault="00125561" w:rsidP="000E425B">
      <w:pPr>
        <w:spacing w:after="0" w:line="240" w:lineRule="auto"/>
      </w:pPr>
    </w:p>
    <w:p w:rsidR="00BB59FA" w:rsidRDefault="00BB59FA" w:rsidP="000E425B">
      <w:pPr>
        <w:spacing w:after="0" w:line="240" w:lineRule="auto"/>
        <w:ind w:left="567" w:hanging="567"/>
        <w:jc w:val="both"/>
      </w:pPr>
    </w:p>
    <w:p w:rsidR="00BB59FA" w:rsidRDefault="00BB59FA" w:rsidP="00BB59FA">
      <w:pPr>
        <w:pStyle w:val="Heading3"/>
        <w:spacing w:before="0" w:line="240" w:lineRule="auto"/>
        <w:ind w:left="567" w:hanging="567"/>
        <w:rPr>
          <w:b/>
        </w:rPr>
      </w:pPr>
    </w:p>
    <w:p w:rsidR="00BB59FA" w:rsidRDefault="00BB59FA" w:rsidP="00BB59FA">
      <w:pPr>
        <w:pStyle w:val="Heading3"/>
        <w:spacing w:before="0" w:line="240" w:lineRule="auto"/>
        <w:ind w:left="567" w:hanging="567"/>
        <w:rPr>
          <w:b/>
        </w:rPr>
      </w:pPr>
      <w:r w:rsidRPr="00990212">
        <w:rPr>
          <w:b/>
        </w:rPr>
        <w:t>4.</w:t>
      </w:r>
      <w:r w:rsidRPr="00990212">
        <w:rPr>
          <w:b/>
        </w:rPr>
        <w:tab/>
        <w:t>Overall KPI five-year trend for all modes of delivery</w:t>
      </w:r>
      <w:r>
        <w:rPr>
          <w:b/>
        </w:rPr>
        <w:t xml:space="preserve"> (</w:t>
      </w:r>
      <w:r w:rsidR="005B6F3A">
        <w:rPr>
          <w:b/>
        </w:rPr>
        <w:t>cont.</w:t>
      </w:r>
      <w:r>
        <w:rPr>
          <w:b/>
        </w:rPr>
        <w:t>)</w:t>
      </w:r>
    </w:p>
    <w:p w:rsidR="00BB59FA" w:rsidRDefault="00BB59FA" w:rsidP="000E425B">
      <w:pPr>
        <w:spacing w:after="0" w:line="240" w:lineRule="auto"/>
        <w:ind w:left="567" w:hanging="567"/>
        <w:jc w:val="both"/>
      </w:pPr>
    </w:p>
    <w:p w:rsidR="000043E7" w:rsidRDefault="000043E7" w:rsidP="000E425B">
      <w:pPr>
        <w:spacing w:after="0" w:line="240" w:lineRule="auto"/>
        <w:ind w:left="567" w:hanging="567"/>
        <w:jc w:val="both"/>
      </w:pPr>
      <w:r w:rsidRPr="00166531">
        <w:t>4.10</w:t>
      </w:r>
      <w:r w:rsidRPr="00166531">
        <w:tab/>
        <w:t>In session 202</w:t>
      </w:r>
      <w:r w:rsidR="00125561" w:rsidRPr="00166531">
        <w:t>3</w:t>
      </w:r>
      <w:r w:rsidR="000E425B">
        <w:t>-2024</w:t>
      </w:r>
      <w:r w:rsidRPr="00166531">
        <w:t xml:space="preserve">, Higher Education – Part-time was </w:t>
      </w:r>
      <w:r w:rsidR="00074AD9" w:rsidRPr="00166531">
        <w:t>1.7</w:t>
      </w:r>
      <w:r w:rsidRPr="00166531">
        <w:t xml:space="preserve"> % of </w:t>
      </w:r>
      <w:r w:rsidR="00074AD9" w:rsidRPr="00166531">
        <w:t xml:space="preserve">SFC credit activity </w:t>
      </w:r>
      <w:r w:rsidRPr="00166531">
        <w:t>at New College Lanarkshire</w:t>
      </w:r>
      <w:r w:rsidR="000E425B">
        <w:t>.</w:t>
      </w:r>
    </w:p>
    <w:p w:rsidR="00BB59FA" w:rsidRDefault="00BB59FA" w:rsidP="000E425B">
      <w:pPr>
        <w:spacing w:after="0" w:line="240" w:lineRule="auto"/>
        <w:ind w:left="567" w:hanging="567"/>
        <w:jc w:val="both"/>
      </w:pPr>
    </w:p>
    <w:p w:rsidR="00BB59FA" w:rsidRDefault="00BB59FA" w:rsidP="000E425B">
      <w:pPr>
        <w:spacing w:after="0" w:line="240" w:lineRule="auto"/>
        <w:ind w:left="567" w:hanging="567"/>
        <w:jc w:val="both"/>
      </w:pPr>
    </w:p>
    <w:p w:rsidR="00C615C4" w:rsidRPr="00166531" w:rsidRDefault="00090ECE" w:rsidP="000E425B">
      <w:pPr>
        <w:pStyle w:val="Heading3"/>
        <w:spacing w:before="0" w:line="240" w:lineRule="auto"/>
        <w:ind w:left="567" w:hanging="567"/>
        <w:jc w:val="both"/>
        <w:rPr>
          <w:b/>
        </w:rPr>
      </w:pPr>
      <w:r w:rsidRPr="00166531">
        <w:rPr>
          <w:b/>
        </w:rPr>
        <w:t>5</w:t>
      </w:r>
      <w:r w:rsidR="000E425B">
        <w:rPr>
          <w:b/>
        </w:rPr>
        <w:t>.</w:t>
      </w:r>
      <w:r w:rsidR="00C615C4" w:rsidRPr="00166531">
        <w:rPr>
          <w:b/>
        </w:rPr>
        <w:tab/>
      </w:r>
      <w:r w:rsidR="00C615C4" w:rsidRPr="00166531">
        <w:rPr>
          <w:b/>
          <w:bCs/>
        </w:rPr>
        <w:t>ALTERNATIVE FUNDING ACTIVITY – MODERN APPRENTICESHIPS</w:t>
      </w:r>
      <w:r w:rsidR="00684C2C" w:rsidRPr="00166531">
        <w:rPr>
          <w:b/>
          <w:bCs/>
        </w:rPr>
        <w:t xml:space="preserve"> AND EXTERNAL FUNDING</w:t>
      </w:r>
    </w:p>
    <w:p w:rsidR="00C615C4" w:rsidRPr="00166531" w:rsidRDefault="00C615C4" w:rsidP="000E425B">
      <w:pPr>
        <w:pStyle w:val="Heading3"/>
        <w:spacing w:before="0" w:line="240" w:lineRule="auto"/>
      </w:pPr>
    </w:p>
    <w:p w:rsidR="00684C2C" w:rsidRDefault="00090ECE" w:rsidP="00BB59FA">
      <w:pPr>
        <w:spacing w:after="0" w:line="240" w:lineRule="auto"/>
        <w:ind w:left="567" w:hanging="567"/>
        <w:jc w:val="both"/>
      </w:pPr>
      <w:r w:rsidRPr="00166531">
        <w:t>5</w:t>
      </w:r>
      <w:r w:rsidR="00C615C4" w:rsidRPr="00166531">
        <w:t>.1</w:t>
      </w:r>
      <w:r w:rsidR="00C615C4" w:rsidRPr="00166531">
        <w:tab/>
      </w:r>
      <w:r w:rsidR="00684C2C" w:rsidRPr="00166531">
        <w:t>In response to the bid made to Skills Development Scotland in January 2024</w:t>
      </w:r>
      <w:r w:rsidR="000E425B">
        <w:t xml:space="preserve">, </w:t>
      </w:r>
      <w:r w:rsidR="00684C2C" w:rsidRPr="00166531">
        <w:t>New College Lanarkshire was awarded a contract for 209 new starts and a value of £1,062,815. The volume of new starts awarded were significantly lower than the volume in the bid which was a trend across all training providers allocated Skills development Scotland modern apprenticeship contracts</w:t>
      </w:r>
      <w:r w:rsidR="00C4504B" w:rsidRPr="00166531">
        <w:t>.</w:t>
      </w:r>
    </w:p>
    <w:p w:rsidR="000E425B" w:rsidRDefault="000E425B" w:rsidP="00BB59FA">
      <w:pPr>
        <w:spacing w:after="0" w:line="240" w:lineRule="auto"/>
        <w:ind w:left="567" w:hanging="567"/>
        <w:jc w:val="both"/>
      </w:pPr>
    </w:p>
    <w:p w:rsidR="00684C2C" w:rsidRDefault="000E425B" w:rsidP="00BB59FA">
      <w:pPr>
        <w:spacing w:after="0" w:line="240" w:lineRule="auto"/>
        <w:ind w:left="567" w:hanging="567"/>
        <w:jc w:val="both"/>
      </w:pPr>
      <w:r>
        <w:tab/>
      </w:r>
      <w:r w:rsidR="00684C2C" w:rsidRPr="00166531">
        <w:t xml:space="preserve">With the shortfall in anticipated allocations for new starts, a review of apprenticeship courses to be delivered was conducted and a contract adjustment was completed. The adjustment focused allocations of new starts to occupational areas which had immediate employer demand for apprenticeship training. This ensured NCL was in the best position possible to meet contract KPI targets set by Skills Development Scotland. </w:t>
      </w:r>
    </w:p>
    <w:p w:rsidR="000E425B" w:rsidRDefault="000E425B" w:rsidP="00BB59FA">
      <w:pPr>
        <w:spacing w:after="0" w:line="240" w:lineRule="auto"/>
        <w:ind w:left="567" w:hanging="567"/>
        <w:jc w:val="both"/>
      </w:pPr>
    </w:p>
    <w:p w:rsidR="00C615C4" w:rsidRDefault="000E425B" w:rsidP="00BB59FA">
      <w:pPr>
        <w:spacing w:after="0" w:line="240" w:lineRule="auto"/>
        <w:ind w:left="567" w:hanging="567"/>
        <w:jc w:val="both"/>
      </w:pPr>
      <w:r>
        <w:tab/>
      </w:r>
      <w:r w:rsidR="00684C2C" w:rsidRPr="00166531">
        <w:t>The plans to expand our apprenticeship pathways to include care services management, construction, creative media, customer service, digital marketing, social services, pharmacy and management were put on hold.</w:t>
      </w:r>
    </w:p>
    <w:p w:rsidR="000E425B" w:rsidRPr="00166531" w:rsidRDefault="000E425B" w:rsidP="000E425B">
      <w:pPr>
        <w:spacing w:after="0" w:line="240" w:lineRule="auto"/>
        <w:ind w:left="720"/>
        <w:jc w:val="both"/>
      </w:pPr>
    </w:p>
    <w:p w:rsidR="003614AC" w:rsidRDefault="003614AC" w:rsidP="00BB59FA">
      <w:pPr>
        <w:spacing w:after="0" w:line="240" w:lineRule="auto"/>
        <w:ind w:left="567" w:hanging="567"/>
        <w:jc w:val="both"/>
      </w:pPr>
      <w:r w:rsidRPr="00166531">
        <w:t>5.</w:t>
      </w:r>
      <w:r w:rsidR="00C4504B" w:rsidRPr="00166531">
        <w:t>2</w:t>
      </w:r>
      <w:r w:rsidRPr="00166531">
        <w:tab/>
      </w:r>
      <w:r w:rsidRPr="00166531">
        <w:rPr>
          <w:b/>
        </w:rPr>
        <w:t xml:space="preserve">UKRI: </w:t>
      </w:r>
      <w:r w:rsidRPr="00166531">
        <w:t xml:space="preserve"> Project value:  £1.2M.    NCL share: £196K.  The Colleges’ Local Innovation Centres project – or CLIC – is funded by UKRI, the UK Government’s agency for research and innovation.</w:t>
      </w:r>
    </w:p>
    <w:p w:rsidR="000E425B" w:rsidRDefault="000E425B" w:rsidP="00BB59FA">
      <w:pPr>
        <w:spacing w:after="0" w:line="240" w:lineRule="auto"/>
        <w:ind w:left="567" w:hanging="567"/>
        <w:jc w:val="both"/>
      </w:pPr>
    </w:p>
    <w:p w:rsidR="003614AC" w:rsidRDefault="000E425B" w:rsidP="00BB59FA">
      <w:pPr>
        <w:spacing w:after="0" w:line="240" w:lineRule="auto"/>
        <w:ind w:left="567" w:hanging="567"/>
        <w:jc w:val="both"/>
      </w:pPr>
      <w:r>
        <w:tab/>
      </w:r>
      <w:r w:rsidR="003614AC" w:rsidRPr="00166531">
        <w:t>The CLIC project is a network of Innovation Centres, located at the six colleges of Further and Higher Education serving the eight local authorities in Glasgow City Region. Each of the CLIC Innovation Centres is focused on assisting businesses and organisations across the City Region’s five priority clusters acquire digital capabilities that will help them to add value or become more productive in their processes and services. Doing so will contribute to increasing individual enterprises’ and the City Region’s productivity. The themes covered by the CLIC Innovation Centres are Health &amp; Life Sciences, Energy &amp; Net Zero, Digital Creative Industries, Advanced Manufacturing &amp; Production, and Digital &amp; Enabling Technologies.</w:t>
      </w:r>
    </w:p>
    <w:p w:rsidR="000E425B" w:rsidRDefault="000E425B" w:rsidP="00BB59FA">
      <w:pPr>
        <w:spacing w:after="0" w:line="240" w:lineRule="auto"/>
        <w:ind w:left="567" w:hanging="567"/>
        <w:jc w:val="both"/>
      </w:pPr>
    </w:p>
    <w:p w:rsidR="000E425B" w:rsidRDefault="000E425B" w:rsidP="00BB59FA">
      <w:pPr>
        <w:spacing w:after="0" w:line="240" w:lineRule="auto"/>
        <w:ind w:left="567" w:hanging="567"/>
        <w:jc w:val="both"/>
      </w:pPr>
      <w:r>
        <w:tab/>
      </w:r>
      <w:r w:rsidR="003614AC" w:rsidRPr="00166531">
        <w:t>New College Lanarkshire is the CLIC Innovation Centre for Digitally Enabled Health.</w:t>
      </w:r>
    </w:p>
    <w:p w:rsidR="000E425B" w:rsidRDefault="000E425B" w:rsidP="00BB59FA">
      <w:pPr>
        <w:spacing w:after="0" w:line="240" w:lineRule="auto"/>
        <w:ind w:left="567" w:hanging="567"/>
        <w:jc w:val="both"/>
      </w:pPr>
    </w:p>
    <w:p w:rsidR="003614AC" w:rsidRDefault="000E425B" w:rsidP="00BB59FA">
      <w:pPr>
        <w:spacing w:after="0" w:line="240" w:lineRule="auto"/>
        <w:ind w:left="567" w:hanging="567"/>
        <w:jc w:val="both"/>
      </w:pPr>
      <w:r>
        <w:tab/>
      </w:r>
      <w:r w:rsidR="003614AC" w:rsidRPr="00166531">
        <w:t>The Centre for Digitally Enabled Health will help companies in Glasgow City Region working in health care understand the benefits of incorporating digital and innovative methods in providing care and support to their clients. The application of digital tools and digitally enabled tools and applications can assist providers in reducing waiting times for service-users, improving providers’ response times, improving staff effectiveness and efficiency, and improving service-user experiences.</w:t>
      </w:r>
    </w:p>
    <w:p w:rsidR="006F302A" w:rsidRDefault="006F302A" w:rsidP="000E425B">
      <w:pPr>
        <w:spacing w:after="0" w:line="240" w:lineRule="auto"/>
        <w:ind w:left="567" w:hanging="567"/>
        <w:jc w:val="both"/>
      </w:pPr>
    </w:p>
    <w:p w:rsidR="00BB59FA" w:rsidRDefault="00BB59FA" w:rsidP="000E425B">
      <w:pPr>
        <w:spacing w:after="0" w:line="240" w:lineRule="auto"/>
        <w:ind w:left="567" w:hanging="567"/>
        <w:jc w:val="both"/>
      </w:pPr>
    </w:p>
    <w:p w:rsidR="00BB59FA" w:rsidRDefault="00BB59FA" w:rsidP="000E425B">
      <w:pPr>
        <w:spacing w:after="0" w:line="240" w:lineRule="auto"/>
        <w:ind w:left="567" w:hanging="567"/>
        <w:jc w:val="both"/>
      </w:pPr>
    </w:p>
    <w:p w:rsidR="00BB59FA" w:rsidRDefault="00BB59FA" w:rsidP="000E425B">
      <w:pPr>
        <w:spacing w:after="0" w:line="240" w:lineRule="auto"/>
        <w:ind w:left="567" w:hanging="567"/>
        <w:jc w:val="both"/>
      </w:pPr>
    </w:p>
    <w:p w:rsidR="00BB59FA" w:rsidRDefault="00BB59FA" w:rsidP="00BB59FA">
      <w:pPr>
        <w:spacing w:after="0" w:line="240" w:lineRule="auto"/>
        <w:ind w:left="567" w:hanging="567"/>
        <w:jc w:val="both"/>
      </w:pPr>
    </w:p>
    <w:p w:rsidR="00BB59FA" w:rsidRPr="00166531" w:rsidRDefault="00BB59FA" w:rsidP="00BB59FA">
      <w:pPr>
        <w:pStyle w:val="Heading3"/>
        <w:spacing w:before="0" w:line="240" w:lineRule="auto"/>
        <w:ind w:left="567" w:hanging="567"/>
        <w:jc w:val="both"/>
        <w:rPr>
          <w:b/>
        </w:rPr>
      </w:pPr>
      <w:r>
        <w:rPr>
          <w:b/>
        </w:rPr>
        <w:t>5.</w:t>
      </w:r>
      <w:r w:rsidRPr="00166531">
        <w:rPr>
          <w:b/>
        </w:rPr>
        <w:tab/>
      </w:r>
      <w:r w:rsidRPr="00166531">
        <w:rPr>
          <w:b/>
          <w:bCs/>
        </w:rPr>
        <w:t>ALTERNATIVE FUNDING ACTIVITY – MODERN APPRENTICESHIPS AND EXTERNAL FUNDING</w:t>
      </w:r>
      <w:r>
        <w:rPr>
          <w:b/>
          <w:bCs/>
        </w:rPr>
        <w:t xml:space="preserve"> (</w:t>
      </w:r>
      <w:r w:rsidR="005B6F3A">
        <w:rPr>
          <w:b/>
          <w:bCs/>
        </w:rPr>
        <w:t>cont.</w:t>
      </w:r>
      <w:r>
        <w:rPr>
          <w:b/>
          <w:bCs/>
        </w:rPr>
        <w:t>)</w:t>
      </w:r>
    </w:p>
    <w:p w:rsidR="00BB59FA" w:rsidRDefault="00BB59FA" w:rsidP="000E425B">
      <w:pPr>
        <w:spacing w:after="0" w:line="240" w:lineRule="auto"/>
        <w:ind w:left="567" w:hanging="567"/>
        <w:jc w:val="both"/>
      </w:pPr>
    </w:p>
    <w:p w:rsidR="006F302A" w:rsidRDefault="00C4504B" w:rsidP="000E425B">
      <w:pPr>
        <w:spacing w:after="0" w:line="240" w:lineRule="auto"/>
        <w:ind w:left="567" w:hanging="567"/>
        <w:jc w:val="both"/>
      </w:pPr>
      <w:r w:rsidRPr="00166531">
        <w:t>5.3</w:t>
      </w:r>
      <w:r w:rsidR="003614AC" w:rsidRPr="00166531">
        <w:tab/>
      </w:r>
      <w:r w:rsidR="003614AC" w:rsidRPr="00166531">
        <w:rPr>
          <w:b/>
        </w:rPr>
        <w:t>UK Shared Prosperity Fund (UKSPF)</w:t>
      </w:r>
      <w:r w:rsidR="000E425B">
        <w:rPr>
          <w:b/>
        </w:rPr>
        <w:t xml:space="preserve">.  </w:t>
      </w:r>
      <w:r w:rsidR="003614AC" w:rsidRPr="00166531">
        <w:t xml:space="preserve">Value to NCL: £380K.  This UK Government fund is allocated to and administered via local authorities. North Lanarkshire Council has awarded NCL funding to implement Phase 2 of Smart Hub Lanarkshire. This will build on the solid foundations laid during the phase 1 partnership forged between North Lanarkshire Council and the College, which was funded by a combination of funding from the European Regional Development Fund, each partner’s own resources, and the Lanarkshire Further Education Foundation. The thrust of phase 2 will be to deepen and widen the impacts that this partnership has already made and foster more engagement with companies in the region, offering them the opportunity to see and sample the benefits that that may be accrued from applying robotics and automation to manufacturing processes. </w:t>
      </w:r>
    </w:p>
    <w:p w:rsidR="006F302A" w:rsidRDefault="006F302A" w:rsidP="000E425B">
      <w:pPr>
        <w:spacing w:after="0" w:line="240" w:lineRule="auto"/>
        <w:ind w:left="567" w:hanging="567"/>
        <w:jc w:val="both"/>
      </w:pPr>
    </w:p>
    <w:p w:rsidR="003614AC" w:rsidRDefault="006F302A" w:rsidP="000E425B">
      <w:pPr>
        <w:spacing w:after="0" w:line="240" w:lineRule="auto"/>
        <w:ind w:left="567" w:hanging="567"/>
        <w:jc w:val="both"/>
      </w:pPr>
      <w:r>
        <w:tab/>
      </w:r>
      <w:r w:rsidR="003614AC" w:rsidRPr="00166531">
        <w:t>An additional benefit will be for schools in the region as the ongoing partnership between the Council and the College facilitates cooperative arrangements to allow young people to have some exposure to modern manufacturing during the years when many will be considering their career choices.</w:t>
      </w:r>
    </w:p>
    <w:p w:rsidR="000E425B" w:rsidRPr="00166531" w:rsidRDefault="000E425B" w:rsidP="000E425B">
      <w:pPr>
        <w:spacing w:after="0" w:line="240" w:lineRule="auto"/>
        <w:ind w:left="720" w:hanging="720"/>
        <w:jc w:val="both"/>
      </w:pPr>
    </w:p>
    <w:p w:rsidR="003614AC" w:rsidRDefault="003614AC" w:rsidP="000E425B">
      <w:pPr>
        <w:spacing w:after="0" w:line="240" w:lineRule="auto"/>
        <w:ind w:left="567" w:hanging="567"/>
        <w:jc w:val="both"/>
      </w:pPr>
      <w:r w:rsidRPr="00166531">
        <w:t>5.</w:t>
      </w:r>
      <w:r w:rsidR="00C4504B" w:rsidRPr="00166531">
        <w:t>4</w:t>
      </w:r>
      <w:r w:rsidRPr="00166531">
        <w:tab/>
      </w:r>
      <w:r w:rsidRPr="00166531">
        <w:rPr>
          <w:b/>
        </w:rPr>
        <w:t xml:space="preserve">Turing </w:t>
      </w:r>
      <w:r w:rsidRPr="00166531">
        <w:t>Value to NCL: £245.5K for VET and £25.6K for HE</w:t>
      </w:r>
      <w:r w:rsidR="006F302A">
        <w:t xml:space="preserve">.  </w:t>
      </w:r>
      <w:r w:rsidRPr="00166531">
        <w:t>This funding is awarded by the UK Government to support transnational student mobility across the globe. NCL submitted two bids, one for students pursuing studies at SCQF level 6 and below (VET) and one for students at higher levels (HE). The VET funding, which is 70% of the requested amount, will result in the capacity to offer 100 VET students the opportunity of transnational mobility experiences of two weeks’ duration. The HE funding, which is all of the requested amount, will allow 20 such students to undertake transnational mobility of four weeks. It should be noted that almost all successful applications, from schools, colleges, and universities, to Turing resulted in awards of significantly less than requested.</w:t>
      </w:r>
    </w:p>
    <w:p w:rsidR="000E425B" w:rsidRPr="00166531" w:rsidRDefault="000E425B" w:rsidP="000E425B">
      <w:pPr>
        <w:spacing w:after="0" w:line="240" w:lineRule="auto"/>
        <w:ind w:left="720" w:hanging="720"/>
        <w:jc w:val="both"/>
      </w:pPr>
    </w:p>
    <w:p w:rsidR="003614AC" w:rsidRDefault="003614AC" w:rsidP="006F302A">
      <w:pPr>
        <w:spacing w:after="0" w:line="240" w:lineRule="auto"/>
        <w:ind w:left="567" w:hanging="567"/>
        <w:jc w:val="both"/>
      </w:pPr>
      <w:r w:rsidRPr="00166531">
        <w:t>5.</w:t>
      </w:r>
      <w:r w:rsidR="00C4504B" w:rsidRPr="00166531">
        <w:t>5</w:t>
      </w:r>
      <w:r w:rsidRPr="00166531">
        <w:tab/>
      </w:r>
      <w:r w:rsidRPr="00166531">
        <w:rPr>
          <w:b/>
        </w:rPr>
        <w:t xml:space="preserve">Digital Xtra </w:t>
      </w:r>
      <w:r w:rsidRPr="00166531">
        <w:t>Value to NCL:  £5K</w:t>
      </w:r>
      <w:r w:rsidRPr="00166531">
        <w:rPr>
          <w:b/>
        </w:rPr>
        <w:t xml:space="preserve">.  </w:t>
      </w:r>
      <w:r w:rsidRPr="00166531">
        <w:t>This funding will support the continuation of the Vex Robotics provision in NCL for local schools.</w:t>
      </w:r>
    </w:p>
    <w:p w:rsidR="000E425B" w:rsidRPr="00166531" w:rsidRDefault="000E425B" w:rsidP="000E425B">
      <w:pPr>
        <w:spacing w:after="0" w:line="240" w:lineRule="auto"/>
        <w:ind w:left="720" w:hanging="720"/>
        <w:jc w:val="both"/>
      </w:pPr>
    </w:p>
    <w:p w:rsidR="003614AC" w:rsidRDefault="003614AC" w:rsidP="000E425B">
      <w:pPr>
        <w:spacing w:after="0" w:line="240" w:lineRule="auto"/>
        <w:ind w:left="567" w:hanging="567"/>
        <w:jc w:val="both"/>
      </w:pPr>
      <w:r w:rsidRPr="00166531">
        <w:t>5.</w:t>
      </w:r>
      <w:r w:rsidR="00C4504B" w:rsidRPr="00166531">
        <w:t>6</w:t>
      </w:r>
      <w:r w:rsidRPr="00166531">
        <w:tab/>
      </w:r>
      <w:r w:rsidRPr="00166531">
        <w:rPr>
          <w:b/>
        </w:rPr>
        <w:t xml:space="preserve">Connecting Scotland.  </w:t>
      </w:r>
      <w:r w:rsidRPr="00166531">
        <w:t xml:space="preserve">This phase of an ongoing project provides NCL with </w:t>
      </w:r>
      <w:r w:rsidR="006F302A">
        <w:t xml:space="preserve">eight </w:t>
      </w:r>
      <w:r w:rsidRPr="00166531">
        <w:t xml:space="preserve">Chromebooks and </w:t>
      </w:r>
      <w:r w:rsidR="006F302A">
        <w:t xml:space="preserve">four </w:t>
      </w:r>
      <w:r w:rsidRPr="00166531">
        <w:t>mi-fi devices for students in digital poverty.</w:t>
      </w:r>
    </w:p>
    <w:p w:rsidR="000E425B" w:rsidRPr="00166531" w:rsidRDefault="000E425B" w:rsidP="000E425B">
      <w:pPr>
        <w:spacing w:after="0" w:line="240" w:lineRule="auto"/>
        <w:ind w:left="720" w:hanging="720"/>
        <w:jc w:val="both"/>
      </w:pPr>
    </w:p>
    <w:p w:rsidR="00E855F3" w:rsidRDefault="00E855F3" w:rsidP="000E425B">
      <w:pPr>
        <w:spacing w:after="0" w:line="240" w:lineRule="auto"/>
        <w:ind w:left="567" w:hanging="567"/>
        <w:jc w:val="both"/>
      </w:pPr>
      <w:r w:rsidRPr="00166531">
        <w:t>5.</w:t>
      </w:r>
      <w:r w:rsidR="00C4504B" w:rsidRPr="00166531">
        <w:t>7</w:t>
      </w:r>
      <w:r w:rsidRPr="00166531">
        <w:tab/>
      </w:r>
      <w:r w:rsidRPr="00166531">
        <w:rPr>
          <w:b/>
        </w:rPr>
        <w:t xml:space="preserve">Pending application.  </w:t>
      </w:r>
      <w:r w:rsidRPr="00166531">
        <w:t>NCL is the Scottish partner in an application being submitted to the Chinese Government by partners in China for a grant of £200K a year for five years, to support innovation in Dental Nursing. The results of this are likely to be known towards the end of 2024.</w:t>
      </w:r>
    </w:p>
    <w:p w:rsidR="006F302A" w:rsidRDefault="006F302A" w:rsidP="000E425B">
      <w:pPr>
        <w:spacing w:after="0" w:line="240" w:lineRule="auto"/>
        <w:ind w:left="567" w:hanging="567"/>
        <w:jc w:val="both"/>
        <w:rPr>
          <w:b/>
        </w:rPr>
      </w:pPr>
    </w:p>
    <w:p w:rsidR="00BB59FA" w:rsidRDefault="00BB59FA">
      <w:pPr>
        <w:rPr>
          <w:b/>
        </w:rPr>
      </w:pPr>
      <w:r>
        <w:rPr>
          <w:b/>
        </w:rPr>
        <w:br w:type="page"/>
      </w:r>
    </w:p>
    <w:p w:rsidR="006F302A" w:rsidRDefault="006F302A" w:rsidP="000E425B">
      <w:pPr>
        <w:spacing w:after="0" w:line="240" w:lineRule="auto"/>
        <w:ind w:left="567" w:hanging="567"/>
        <w:jc w:val="both"/>
        <w:rPr>
          <w:b/>
        </w:rPr>
      </w:pPr>
    </w:p>
    <w:p w:rsidR="00805AFC" w:rsidRPr="00166531" w:rsidRDefault="00090ECE" w:rsidP="000E425B">
      <w:pPr>
        <w:pStyle w:val="Heading3"/>
        <w:ind w:left="567" w:hanging="567"/>
        <w:rPr>
          <w:b/>
        </w:rPr>
      </w:pPr>
      <w:r w:rsidRPr="00166531">
        <w:rPr>
          <w:b/>
        </w:rPr>
        <w:t>6</w:t>
      </w:r>
      <w:r w:rsidR="000E425B">
        <w:rPr>
          <w:b/>
        </w:rPr>
        <w:t>.</w:t>
      </w:r>
      <w:r w:rsidR="00325CBD" w:rsidRPr="00166531">
        <w:rPr>
          <w:b/>
        </w:rPr>
        <w:tab/>
      </w:r>
      <w:r w:rsidR="00603FF8" w:rsidRPr="00166531">
        <w:rPr>
          <w:b/>
        </w:rPr>
        <w:t>DEPARTMENTAL UPDATES</w:t>
      </w:r>
    </w:p>
    <w:p w:rsidR="006A34E1" w:rsidRPr="00166531" w:rsidRDefault="006A34E1" w:rsidP="006A34E1">
      <w:pPr>
        <w:pStyle w:val="ListParagraph"/>
        <w:ind w:left="0"/>
      </w:pPr>
    </w:p>
    <w:p w:rsidR="003244CE" w:rsidRPr="00166531" w:rsidRDefault="00090ECE" w:rsidP="000E425B">
      <w:pPr>
        <w:pStyle w:val="ListParagraph"/>
        <w:spacing w:after="0" w:line="240" w:lineRule="auto"/>
        <w:ind w:left="567" w:hanging="567"/>
        <w:jc w:val="both"/>
      </w:pPr>
      <w:r w:rsidRPr="00166531">
        <w:t>6</w:t>
      </w:r>
      <w:r w:rsidR="006A34E1" w:rsidRPr="00166531">
        <w:t>.1</w:t>
      </w:r>
      <w:r w:rsidR="006A34E1" w:rsidRPr="00166531">
        <w:tab/>
      </w:r>
      <w:r w:rsidR="00603FF8" w:rsidRPr="00166531">
        <w:rPr>
          <w:b/>
        </w:rPr>
        <w:t>Access and Progression</w:t>
      </w:r>
      <w:r w:rsidR="009337A8" w:rsidRPr="00166531">
        <w:rPr>
          <w:b/>
        </w:rPr>
        <w:t xml:space="preserve"> department</w:t>
      </w:r>
      <w:r w:rsidR="00D14C4D" w:rsidRPr="00166531">
        <w:rPr>
          <w:b/>
        </w:rPr>
        <w:t>,</w:t>
      </w:r>
      <w:r w:rsidR="009337A8" w:rsidRPr="00166531">
        <w:t xml:space="preserve"> </w:t>
      </w:r>
      <w:r w:rsidR="003244CE" w:rsidRPr="00166531">
        <w:t xml:space="preserve">has commenced new provision “Introduction to Barista Skills” at the Cumbernauld Campus due to the surge in demand for skilled baristas, evident in the proliferation of drive-through coffee shops within Lanarkshire. In the past 12 </w:t>
      </w:r>
      <w:r w:rsidR="005B6F3A" w:rsidRPr="00166531">
        <w:t>months, Starbucks</w:t>
      </w:r>
      <w:r w:rsidR="003244CE" w:rsidRPr="00166531">
        <w:t xml:space="preserve"> has expanded its footprint by opening over 100 stores. Recognising this industry trend, offering a Barista Course not only addresses the current market demand but also aligns with our commitment to providing education that is both relevant and practical for our students.</w:t>
      </w:r>
    </w:p>
    <w:p w:rsidR="00856438" w:rsidRPr="00166531" w:rsidRDefault="00856438" w:rsidP="000E425B">
      <w:pPr>
        <w:pStyle w:val="ListParagraph"/>
        <w:spacing w:after="0" w:line="240" w:lineRule="auto"/>
        <w:ind w:left="567" w:hanging="567"/>
        <w:jc w:val="both"/>
      </w:pPr>
    </w:p>
    <w:p w:rsidR="003244CE" w:rsidRPr="00166531" w:rsidRDefault="000E425B" w:rsidP="000E425B">
      <w:pPr>
        <w:pStyle w:val="ListParagraph"/>
        <w:spacing w:after="0" w:line="240" w:lineRule="auto"/>
        <w:ind w:left="567" w:hanging="567"/>
        <w:jc w:val="both"/>
      </w:pPr>
      <w:r>
        <w:tab/>
      </w:r>
      <w:r w:rsidR="003244CE" w:rsidRPr="00166531">
        <w:t xml:space="preserve">The primary objective of the proposed Barista Course is to equip young people with the vocational, core, meta and employability skills and knowledge necessary to pursue a career in the rapidly growing area of coffee preparation and service. </w:t>
      </w:r>
      <w:r w:rsidR="00856438" w:rsidRPr="00166531">
        <w:t xml:space="preserve">The department was </w:t>
      </w:r>
      <w:r w:rsidR="003244CE" w:rsidRPr="00166531">
        <w:t xml:space="preserve">able to repurpose equipment from the previous ‘Wee Scone’ project and </w:t>
      </w:r>
      <w:r w:rsidR="00856438" w:rsidRPr="00166531">
        <w:t xml:space="preserve">as a consequence the outlay has been </w:t>
      </w:r>
      <w:r w:rsidR="003244CE" w:rsidRPr="00166531">
        <w:t xml:space="preserve">minimal </w:t>
      </w:r>
      <w:r w:rsidR="00856438" w:rsidRPr="00166531">
        <w:t>in relation to course set up costs.</w:t>
      </w:r>
    </w:p>
    <w:p w:rsidR="003244CE" w:rsidRPr="00166531" w:rsidRDefault="003244CE" w:rsidP="000E425B">
      <w:pPr>
        <w:pStyle w:val="ListParagraph"/>
        <w:spacing w:after="0" w:line="240" w:lineRule="auto"/>
        <w:ind w:left="567" w:hanging="567"/>
        <w:jc w:val="both"/>
      </w:pPr>
      <w:r w:rsidRPr="00166531">
        <w:t> </w:t>
      </w:r>
    </w:p>
    <w:p w:rsidR="006F302A" w:rsidRPr="00166531" w:rsidRDefault="000E425B" w:rsidP="00BB59FA">
      <w:pPr>
        <w:pStyle w:val="ListParagraph"/>
        <w:spacing w:after="0" w:line="240" w:lineRule="auto"/>
        <w:ind w:left="567" w:hanging="567"/>
        <w:jc w:val="both"/>
        <w:rPr>
          <w:b/>
        </w:rPr>
      </w:pPr>
      <w:r>
        <w:tab/>
      </w:r>
      <w:r w:rsidR="00856438" w:rsidRPr="00166531">
        <w:t>T</w:t>
      </w:r>
      <w:r w:rsidR="003244CE" w:rsidRPr="00166531">
        <w:t xml:space="preserve">his facility </w:t>
      </w:r>
      <w:r w:rsidR="00856438" w:rsidRPr="00166531">
        <w:t>will also be accessed by s</w:t>
      </w:r>
      <w:r w:rsidR="003244CE" w:rsidRPr="00166531">
        <w:t>ome part</w:t>
      </w:r>
      <w:r w:rsidR="00856438" w:rsidRPr="00166531">
        <w:t>-</w:t>
      </w:r>
      <w:r w:rsidR="003244CE" w:rsidRPr="00166531">
        <w:t>time groups, and as a work place opportunity for our A</w:t>
      </w:r>
      <w:r w:rsidR="00856438" w:rsidRPr="00166531">
        <w:t xml:space="preserve">ccess and Progression </w:t>
      </w:r>
      <w:r w:rsidR="003244CE" w:rsidRPr="00166531">
        <w:t>and S</w:t>
      </w:r>
      <w:r w:rsidR="00856438" w:rsidRPr="00166531">
        <w:t xml:space="preserve">upport for </w:t>
      </w:r>
      <w:r w:rsidR="003244CE" w:rsidRPr="00166531">
        <w:t>L</w:t>
      </w:r>
      <w:r w:rsidR="00856438" w:rsidRPr="00166531">
        <w:t>earning</w:t>
      </w:r>
      <w:r w:rsidR="003244CE" w:rsidRPr="00166531">
        <w:t xml:space="preserve"> students where appropriate. The hands on, practical nature will be a welcomed addition to the curriculum offering.</w:t>
      </w:r>
    </w:p>
    <w:p w:rsidR="00603FF8" w:rsidRPr="00166531" w:rsidRDefault="003244CE" w:rsidP="005448D5">
      <w:pPr>
        <w:pStyle w:val="ListParagraph"/>
        <w:ind w:left="709" w:hanging="709"/>
        <w:jc w:val="both"/>
        <w:rPr>
          <w:bCs/>
        </w:rPr>
      </w:pPr>
      <w:r w:rsidRPr="00166531">
        <w:t xml:space="preserve">      </w:t>
      </w:r>
    </w:p>
    <w:p w:rsidR="00684C2C" w:rsidRPr="00166531" w:rsidRDefault="00603FF8" w:rsidP="000E425B">
      <w:pPr>
        <w:pStyle w:val="ListParagraph"/>
        <w:numPr>
          <w:ilvl w:val="1"/>
          <w:numId w:val="13"/>
        </w:numPr>
        <w:ind w:hanging="540"/>
        <w:jc w:val="both"/>
      </w:pPr>
      <w:r w:rsidRPr="00166531">
        <w:rPr>
          <w:b/>
        </w:rPr>
        <w:t>Automotive Studies</w:t>
      </w:r>
      <w:r w:rsidR="00FA44F3" w:rsidRPr="00166531">
        <w:t xml:space="preserve"> </w:t>
      </w:r>
      <w:r w:rsidR="00684C2C" w:rsidRPr="00166531">
        <w:t>department have a number of updates for session 2024-</w:t>
      </w:r>
      <w:r w:rsidR="006F302A">
        <w:t>20</w:t>
      </w:r>
      <w:r w:rsidR="00684C2C" w:rsidRPr="00166531">
        <w:t xml:space="preserve">25, including the purchase of an electric motorcycle (super soco) to enable the motorcycle section to deliver up-to-date training and experience of working on an electric motorcycle for students. In addition, the college has been gifted more resources, from our training partnership with Triumph Motorcycles and includes a complete motorcycle, two rolling chassis and several engines and associated parts, to the overall of value of £10k - £15k. </w:t>
      </w:r>
    </w:p>
    <w:p w:rsidR="00684C2C" w:rsidRPr="00166531" w:rsidRDefault="00684C2C" w:rsidP="00684C2C">
      <w:pPr>
        <w:pStyle w:val="ListParagraph"/>
        <w:ind w:left="540"/>
        <w:jc w:val="both"/>
      </w:pPr>
    </w:p>
    <w:p w:rsidR="00C22B33" w:rsidRPr="00166531" w:rsidRDefault="000E425B" w:rsidP="000E425B">
      <w:pPr>
        <w:pStyle w:val="ListParagraph"/>
        <w:spacing w:after="0" w:line="240" w:lineRule="auto"/>
        <w:ind w:left="540" w:hanging="540"/>
        <w:jc w:val="both"/>
      </w:pPr>
      <w:r>
        <w:tab/>
      </w:r>
      <w:r w:rsidR="00684C2C" w:rsidRPr="00166531">
        <w:t>Following on from Alexander Dennis of Falkirk, visit to the HGV centre, the company gifted</w:t>
      </w:r>
      <w:r w:rsidR="00C22B33" w:rsidRPr="00166531">
        <w:t xml:space="preserve"> the department</w:t>
      </w:r>
      <w:r w:rsidR="00684C2C" w:rsidRPr="00166531">
        <w:t xml:space="preserve"> </w:t>
      </w:r>
      <w:r w:rsidR="006F302A">
        <w:t xml:space="preserve">two </w:t>
      </w:r>
      <w:r w:rsidR="00684C2C" w:rsidRPr="00166531">
        <w:t>pallets of paint with an estimated value of £10k</w:t>
      </w:r>
      <w:r w:rsidR="00C22B33" w:rsidRPr="00166531">
        <w:t xml:space="preserve"> and Paintline, a Body and Paint refinishing partner supplied the refinishing section with a state of the art fully stocked paint mixing system along with a spectrometer (paint recognition and shade matching technology). </w:t>
      </w:r>
    </w:p>
    <w:p w:rsidR="00C22B33" w:rsidRPr="00166531" w:rsidRDefault="00C22B33" w:rsidP="000E425B">
      <w:pPr>
        <w:pStyle w:val="ListParagraph"/>
        <w:spacing w:after="0" w:line="240" w:lineRule="auto"/>
        <w:ind w:left="540" w:hanging="540"/>
        <w:jc w:val="both"/>
      </w:pPr>
    </w:p>
    <w:p w:rsidR="005448D5" w:rsidRDefault="000E425B" w:rsidP="000E425B">
      <w:pPr>
        <w:pStyle w:val="ListParagraph"/>
        <w:spacing w:after="0" w:line="240" w:lineRule="auto"/>
        <w:ind w:left="540" w:hanging="540"/>
        <w:jc w:val="both"/>
      </w:pPr>
      <w:r>
        <w:tab/>
      </w:r>
      <w:r w:rsidR="00684C2C" w:rsidRPr="00166531">
        <w:t>New learning resources for light vehicle students are being piloted this session.  The workbooks, mapped to the qualification being undertaken, will ensure consistency of materials regardless of campus.</w:t>
      </w:r>
    </w:p>
    <w:p w:rsidR="000E425B" w:rsidRDefault="000E425B" w:rsidP="000E425B">
      <w:pPr>
        <w:pStyle w:val="ListParagraph"/>
        <w:spacing w:after="0" w:line="240" w:lineRule="auto"/>
        <w:ind w:left="540" w:hanging="540"/>
        <w:jc w:val="both"/>
      </w:pPr>
    </w:p>
    <w:p w:rsidR="00C951B5" w:rsidRPr="00166531" w:rsidRDefault="00603FF8" w:rsidP="000E425B">
      <w:pPr>
        <w:pStyle w:val="ListParagraph"/>
        <w:numPr>
          <w:ilvl w:val="1"/>
          <w:numId w:val="13"/>
        </w:numPr>
        <w:ind w:hanging="540"/>
        <w:jc w:val="both"/>
      </w:pPr>
      <w:r w:rsidRPr="00166531">
        <w:rPr>
          <w:b/>
        </w:rPr>
        <w:t>Beauty, Aesthetics and Hair Design</w:t>
      </w:r>
      <w:r w:rsidR="00C951B5" w:rsidRPr="00166531">
        <w:t xml:space="preserve"> department are excited to announce that students the opportunity to join Stylebook Education. (The first college to offer Beauty).  Stylebook Education is a full service for learners and establishments; making way for learners to gain a deeper understanding of the hair industry, establishments to search for the most suitable and potential stylists for salons, and to offer advice and training for up-and-coming hair professionals.</w:t>
      </w:r>
    </w:p>
    <w:p w:rsidR="00BB59FA" w:rsidRDefault="000E425B" w:rsidP="000E425B">
      <w:pPr>
        <w:ind w:left="540" w:hanging="540"/>
        <w:jc w:val="both"/>
      </w:pPr>
      <w:r>
        <w:tab/>
      </w:r>
      <w:r w:rsidR="00C951B5" w:rsidRPr="00166531">
        <w:t>This cutting-edge platform allows our final-year students to create a digital portfolio, showcasing their unique talents in both hairdressing and beauty. By enabling clients to select a stylist or therapist based on their specific preferences before their appointment, Stylebook not only enhances the client experience but also boosts our student</w:t>
      </w:r>
      <w:r w:rsidR="00E165F7">
        <w:t>’s</w:t>
      </w:r>
      <w:r w:rsidR="00C951B5" w:rsidRPr="00166531">
        <w:t xml:space="preserve"> employability and confidence. </w:t>
      </w:r>
    </w:p>
    <w:p w:rsidR="00BB59FA" w:rsidRDefault="00BB59FA" w:rsidP="00095C0E">
      <w:pPr>
        <w:jc w:val="both"/>
      </w:pPr>
    </w:p>
    <w:p w:rsidR="00BB59FA" w:rsidRPr="00166531" w:rsidRDefault="00BB59FA" w:rsidP="00BB59FA">
      <w:pPr>
        <w:pStyle w:val="Heading3"/>
        <w:spacing w:before="0" w:line="240" w:lineRule="auto"/>
        <w:ind w:left="567" w:hanging="567"/>
        <w:rPr>
          <w:b/>
        </w:rPr>
      </w:pPr>
      <w:r w:rsidRPr="00166531">
        <w:rPr>
          <w:b/>
        </w:rPr>
        <w:t>6</w:t>
      </w:r>
      <w:r>
        <w:rPr>
          <w:b/>
        </w:rPr>
        <w:t>.</w:t>
      </w:r>
      <w:r w:rsidRPr="00166531">
        <w:rPr>
          <w:b/>
        </w:rPr>
        <w:tab/>
        <w:t>DEPARTMENTAL UPDATES</w:t>
      </w:r>
      <w:r>
        <w:rPr>
          <w:b/>
        </w:rPr>
        <w:t xml:space="preserve"> (</w:t>
      </w:r>
      <w:r w:rsidR="005B6F3A">
        <w:rPr>
          <w:b/>
        </w:rPr>
        <w:t>cont.</w:t>
      </w:r>
      <w:r>
        <w:rPr>
          <w:b/>
        </w:rPr>
        <w:t>)</w:t>
      </w:r>
    </w:p>
    <w:p w:rsidR="00BB59FA" w:rsidRDefault="00BB59FA" w:rsidP="00BB59FA">
      <w:pPr>
        <w:spacing w:after="0" w:line="240" w:lineRule="auto"/>
        <w:ind w:left="540" w:hanging="540"/>
        <w:jc w:val="both"/>
      </w:pPr>
    </w:p>
    <w:p w:rsidR="00C951B5" w:rsidRDefault="00BB59FA" w:rsidP="00BB59FA">
      <w:pPr>
        <w:spacing w:after="0" w:line="240" w:lineRule="auto"/>
        <w:ind w:left="540" w:hanging="540"/>
        <w:jc w:val="both"/>
      </w:pPr>
      <w:r>
        <w:t>6.3</w:t>
      </w:r>
      <w:r>
        <w:tab/>
      </w:r>
      <w:r w:rsidR="00C951B5" w:rsidRPr="00166531">
        <w:t>This initiative empowers our students to create a digital portfolio showcasing examples of their skills to build a strong clientele, while providing our very own college training salons with a powerful tool to promote their stylists and attract new clients.</w:t>
      </w:r>
    </w:p>
    <w:p w:rsidR="005B6F3A" w:rsidRDefault="005B6F3A" w:rsidP="00BB59FA">
      <w:pPr>
        <w:spacing w:after="0" w:line="240" w:lineRule="auto"/>
        <w:ind w:left="540" w:hanging="540"/>
        <w:jc w:val="both"/>
      </w:pPr>
    </w:p>
    <w:p w:rsidR="00C951B5" w:rsidRPr="00166531" w:rsidRDefault="006F302A" w:rsidP="000E425B">
      <w:pPr>
        <w:pStyle w:val="ListParagraph"/>
        <w:ind w:left="540" w:hanging="540"/>
        <w:jc w:val="both"/>
      </w:pPr>
      <w:r>
        <w:tab/>
      </w:r>
      <w:hyperlink r:id="rId13" w:history="1">
        <w:r w:rsidR="00C951B5" w:rsidRPr="00166531">
          <w:rPr>
            <w:rStyle w:val="Hyperlink"/>
          </w:rPr>
          <w:t>Find Your Style | Stylebook Directory | Discover Hairdressers Near You</w:t>
        </w:r>
      </w:hyperlink>
    </w:p>
    <w:p w:rsidR="00C951B5" w:rsidRPr="00166531" w:rsidRDefault="00C951B5" w:rsidP="000E425B">
      <w:pPr>
        <w:pStyle w:val="ListParagraph"/>
        <w:ind w:left="540" w:hanging="540"/>
        <w:jc w:val="both"/>
      </w:pPr>
    </w:p>
    <w:p w:rsidR="00E24EEE" w:rsidRPr="00166531" w:rsidRDefault="00603FF8" w:rsidP="000E425B">
      <w:pPr>
        <w:pStyle w:val="ListParagraph"/>
        <w:numPr>
          <w:ilvl w:val="1"/>
          <w:numId w:val="13"/>
        </w:numPr>
        <w:ind w:hanging="540"/>
        <w:jc w:val="both"/>
      </w:pPr>
      <w:bookmarkStart w:id="1" w:name="_Hlk174872605"/>
      <w:r w:rsidRPr="00166531">
        <w:rPr>
          <w:b/>
        </w:rPr>
        <w:t>Computing and Digital Technologies</w:t>
      </w:r>
      <w:r w:rsidR="005C3328" w:rsidRPr="00166531">
        <w:t xml:space="preserve"> department </w:t>
      </w:r>
      <w:r w:rsidR="00E24EEE" w:rsidRPr="00166531">
        <w:t>was delighted to be given 25 licences to trial tis software with works with Meta Quest and PCs and we are hoping will help to enhance and develop student</w:t>
      </w:r>
      <w:r w:rsidR="00095C0E">
        <w:t>’</w:t>
      </w:r>
      <w:r w:rsidR="00E24EEE" w:rsidRPr="00166531">
        <w:t>s</w:t>
      </w:r>
      <w:r w:rsidR="00095C0E">
        <w:t xml:space="preserve"> </w:t>
      </w:r>
      <w:proofErr w:type="spellStart"/>
      <w:r w:rsidR="00E24EEE" w:rsidRPr="00166531">
        <w:t>MetaSkills</w:t>
      </w:r>
      <w:proofErr w:type="spellEnd"/>
      <w:r w:rsidR="00E24EEE" w:rsidRPr="00166531">
        <w:t>.</w:t>
      </w:r>
    </w:p>
    <w:p w:rsidR="00E24EEE" w:rsidRPr="00166531" w:rsidRDefault="00E24EEE" w:rsidP="000E425B">
      <w:pPr>
        <w:pStyle w:val="ListParagraph"/>
        <w:ind w:left="540" w:hanging="540"/>
        <w:jc w:val="both"/>
      </w:pPr>
    </w:p>
    <w:p w:rsidR="00E24EEE" w:rsidRPr="00166531" w:rsidRDefault="000E425B" w:rsidP="000E425B">
      <w:pPr>
        <w:pStyle w:val="ListParagraph"/>
        <w:ind w:left="540" w:hanging="540"/>
        <w:jc w:val="both"/>
      </w:pPr>
      <w:r>
        <w:tab/>
      </w:r>
      <w:r w:rsidR="00E24EEE" w:rsidRPr="00166531">
        <w:t>On 1</w:t>
      </w:r>
      <w:r w:rsidR="006F302A" w:rsidRPr="006F302A">
        <w:rPr>
          <w:vertAlign w:val="superscript"/>
        </w:rPr>
        <w:t>st</w:t>
      </w:r>
      <w:r w:rsidR="006F302A">
        <w:t xml:space="preserve"> </w:t>
      </w:r>
      <w:r w:rsidR="00E24EEE" w:rsidRPr="00166531">
        <w:t xml:space="preserve">July 2024, the department hosted a WorldSkills heat and following a rigours selection </w:t>
      </w:r>
      <w:proofErr w:type="gramStart"/>
      <w:r w:rsidR="005B6F3A" w:rsidRPr="00166531">
        <w:t>a</w:t>
      </w:r>
      <w:proofErr w:type="gramEnd"/>
      <w:r w:rsidR="00E24EEE" w:rsidRPr="00166531">
        <w:t xml:space="preserve"> NCL student will be competing in the UK finals.</w:t>
      </w:r>
    </w:p>
    <w:p w:rsidR="00E24EEE" w:rsidRPr="00166531" w:rsidRDefault="00E24EEE" w:rsidP="000E425B">
      <w:pPr>
        <w:pStyle w:val="ListParagraph"/>
        <w:ind w:left="540" w:hanging="540"/>
        <w:jc w:val="both"/>
      </w:pPr>
    </w:p>
    <w:p w:rsidR="00E24EEE" w:rsidRPr="00166531" w:rsidRDefault="000E425B" w:rsidP="000E425B">
      <w:pPr>
        <w:pStyle w:val="ListParagraph"/>
        <w:ind w:left="540" w:hanging="540"/>
        <w:jc w:val="both"/>
      </w:pPr>
      <w:r>
        <w:tab/>
      </w:r>
      <w:r w:rsidR="00E24EEE" w:rsidRPr="00166531">
        <w:t>As part of the ongoing partnership working and engagement with local industry</w:t>
      </w:r>
      <w:r w:rsidR="00095C0E">
        <w:t>, this</w:t>
      </w:r>
      <w:r w:rsidR="00E24EEE" w:rsidRPr="00166531">
        <w:t xml:space="preserve"> has resulted in a student who recently completed BSc Computer Networking students being employed by Aspen Solutions, whose MD is Paul Harking, one of NCL's newly appointed Associate Lecturers.</w:t>
      </w:r>
    </w:p>
    <w:bookmarkEnd w:id="1"/>
    <w:p w:rsidR="005C3328" w:rsidRDefault="005C3328" w:rsidP="006F302A">
      <w:pPr>
        <w:pStyle w:val="ListParagraph"/>
        <w:spacing w:after="0" w:line="240" w:lineRule="auto"/>
        <w:ind w:left="540" w:hanging="540"/>
      </w:pPr>
    </w:p>
    <w:p w:rsidR="00166531" w:rsidRPr="00166531" w:rsidRDefault="00A625EF" w:rsidP="006F302A">
      <w:pPr>
        <w:pStyle w:val="ListParagraph"/>
        <w:numPr>
          <w:ilvl w:val="1"/>
          <w:numId w:val="13"/>
        </w:numPr>
        <w:spacing w:after="0" w:line="240" w:lineRule="auto"/>
        <w:ind w:hanging="540"/>
        <w:jc w:val="both"/>
      </w:pPr>
      <w:bookmarkStart w:id="2" w:name="_Hlk174873288"/>
      <w:r w:rsidRPr="00166531">
        <w:rPr>
          <w:b/>
        </w:rPr>
        <w:t>Construction Trades Technology</w:t>
      </w:r>
      <w:r w:rsidR="004A4F9D" w:rsidRPr="00166531">
        <w:t xml:space="preserve"> department</w:t>
      </w:r>
      <w:r w:rsidR="00166531" w:rsidRPr="00166531">
        <w:t xml:space="preserve"> is planning two new approaches within the Construction Pre-Apprentice programmes in session 2024</w:t>
      </w:r>
      <w:r w:rsidR="006F302A">
        <w:t xml:space="preserve">-2025.  </w:t>
      </w:r>
      <w:r w:rsidR="00166531" w:rsidRPr="00166531">
        <w:t>Visits both internal and external have been planned and will include visits connected directly to industry, industry ambassador talks and live site visits to immerse students in the construction sector in as wide a scope as possible.  These visits will be supplemented with visits that enhance wellbeing, engagement and satisfaction in general.  The visits will be to more generic locations but are designed to engage students during the actual course study period.</w:t>
      </w:r>
    </w:p>
    <w:p w:rsidR="00166531" w:rsidRPr="00166531" w:rsidRDefault="00166531" w:rsidP="006F302A">
      <w:pPr>
        <w:pStyle w:val="ListParagraph"/>
        <w:spacing w:after="0" w:line="240" w:lineRule="auto"/>
        <w:ind w:left="540" w:hanging="540"/>
        <w:jc w:val="both"/>
      </w:pPr>
    </w:p>
    <w:p w:rsidR="00166531" w:rsidRDefault="000E425B" w:rsidP="006F302A">
      <w:pPr>
        <w:pStyle w:val="ListParagraph"/>
        <w:spacing w:after="0" w:line="240" w:lineRule="auto"/>
        <w:ind w:left="540" w:hanging="540"/>
        <w:jc w:val="both"/>
      </w:pPr>
      <w:r>
        <w:tab/>
      </w:r>
      <w:r w:rsidR="00166531" w:rsidRPr="00166531">
        <w:t>Planned whole person learning activities will include:</w:t>
      </w:r>
    </w:p>
    <w:p w:rsidR="006F302A" w:rsidRPr="00166531" w:rsidRDefault="006F302A" w:rsidP="006F302A">
      <w:pPr>
        <w:pStyle w:val="ListParagraph"/>
        <w:spacing w:after="0" w:line="240" w:lineRule="auto"/>
        <w:ind w:left="540" w:hanging="540"/>
        <w:jc w:val="both"/>
      </w:pPr>
    </w:p>
    <w:p w:rsidR="0011040B" w:rsidRPr="00166531" w:rsidRDefault="00AD514F" w:rsidP="006F302A">
      <w:pPr>
        <w:pStyle w:val="ListParagraph"/>
        <w:numPr>
          <w:ilvl w:val="0"/>
          <w:numId w:val="17"/>
        </w:numPr>
        <w:spacing w:after="0" w:line="240" w:lineRule="auto"/>
        <w:ind w:left="1134" w:hanging="567"/>
        <w:jc w:val="both"/>
      </w:pPr>
      <w:r w:rsidRPr="00166531">
        <w:t>Specific activities to enhance learning with industry specific teaching that is not part of the current trade curriculum.</w:t>
      </w:r>
    </w:p>
    <w:p w:rsidR="0011040B" w:rsidRPr="00166531" w:rsidRDefault="00AD514F" w:rsidP="006F302A">
      <w:pPr>
        <w:pStyle w:val="ListParagraph"/>
        <w:numPr>
          <w:ilvl w:val="0"/>
          <w:numId w:val="17"/>
        </w:numPr>
        <w:spacing w:after="0" w:line="240" w:lineRule="auto"/>
        <w:ind w:left="1134" w:hanging="567"/>
        <w:jc w:val="both"/>
      </w:pPr>
      <w:r w:rsidRPr="00166531">
        <w:t>Career orientated transferable s</w:t>
      </w:r>
      <w:r w:rsidR="00166531" w:rsidRPr="00166531">
        <w:t>k</w:t>
      </w:r>
      <w:r w:rsidRPr="00166531">
        <w:t xml:space="preserve">ills and team </w:t>
      </w:r>
      <w:r w:rsidR="00166531" w:rsidRPr="00166531">
        <w:t>building</w:t>
      </w:r>
      <w:r w:rsidRPr="00166531">
        <w:t xml:space="preserve"> activities, which can be used in any and all sectors.</w:t>
      </w:r>
    </w:p>
    <w:p w:rsidR="0011040B" w:rsidRPr="00166531" w:rsidRDefault="00AD514F" w:rsidP="006F302A">
      <w:pPr>
        <w:pStyle w:val="ListParagraph"/>
        <w:numPr>
          <w:ilvl w:val="0"/>
          <w:numId w:val="17"/>
        </w:numPr>
        <w:spacing w:after="0" w:line="240" w:lineRule="auto"/>
        <w:ind w:left="1134" w:hanging="567"/>
        <w:jc w:val="both"/>
      </w:pPr>
      <w:r w:rsidRPr="00166531">
        <w:t xml:space="preserve">Specific activities to enhance wider satisfaction, team </w:t>
      </w:r>
      <w:r w:rsidR="00166531" w:rsidRPr="00166531">
        <w:t xml:space="preserve">building, and </w:t>
      </w:r>
      <w:r w:rsidRPr="00166531">
        <w:t>working alongside general engagement and completion.</w:t>
      </w:r>
    </w:p>
    <w:p w:rsidR="0011040B" w:rsidRPr="00166531" w:rsidRDefault="00AD514F" w:rsidP="006F302A">
      <w:pPr>
        <w:pStyle w:val="ListParagraph"/>
        <w:numPr>
          <w:ilvl w:val="0"/>
          <w:numId w:val="17"/>
        </w:numPr>
        <w:spacing w:after="0" w:line="240" w:lineRule="auto"/>
        <w:ind w:left="1134" w:hanging="567"/>
        <w:jc w:val="both"/>
      </w:pPr>
      <w:r w:rsidRPr="00166531">
        <w:t xml:space="preserve">Specific </w:t>
      </w:r>
      <w:r w:rsidR="00166531" w:rsidRPr="00166531">
        <w:t>links</w:t>
      </w:r>
      <w:r w:rsidRPr="00166531">
        <w:t xml:space="preserve"> with the Student </w:t>
      </w:r>
      <w:r w:rsidR="00166531" w:rsidRPr="00166531">
        <w:t>W</w:t>
      </w:r>
      <w:r w:rsidRPr="00166531">
        <w:t xml:space="preserve">ellbeing </w:t>
      </w:r>
      <w:r w:rsidR="00166531" w:rsidRPr="00166531">
        <w:t>Academy</w:t>
      </w:r>
      <w:r w:rsidRPr="00166531">
        <w:t xml:space="preserve"> with dedicated time for engagement across the full remit of this activity.</w:t>
      </w:r>
    </w:p>
    <w:bookmarkEnd w:id="2"/>
    <w:p w:rsidR="004A4F9D" w:rsidRPr="00166531" w:rsidRDefault="004A4F9D" w:rsidP="006F302A">
      <w:pPr>
        <w:pStyle w:val="ListParagraph"/>
        <w:spacing w:after="0" w:line="240" w:lineRule="auto"/>
        <w:ind w:left="0"/>
      </w:pPr>
    </w:p>
    <w:p w:rsidR="007061A3" w:rsidRDefault="00A625EF" w:rsidP="00D90D21">
      <w:pPr>
        <w:pStyle w:val="ListParagraph"/>
        <w:numPr>
          <w:ilvl w:val="1"/>
          <w:numId w:val="13"/>
        </w:numPr>
        <w:spacing w:after="0" w:line="240" w:lineRule="auto"/>
        <w:ind w:hanging="540"/>
        <w:jc w:val="both"/>
      </w:pPr>
      <w:r w:rsidRPr="00BB59FA">
        <w:rPr>
          <w:b/>
        </w:rPr>
        <w:t>Culinary Arts</w:t>
      </w:r>
      <w:r w:rsidR="008726FF" w:rsidRPr="00166531">
        <w:t xml:space="preserve"> have </w:t>
      </w:r>
      <w:r w:rsidR="007061A3" w:rsidRPr="00166531">
        <w:t xml:space="preserve">reviewed the </w:t>
      </w:r>
      <w:r w:rsidR="004B74E0" w:rsidRPr="00166531">
        <w:t>qualifications</w:t>
      </w:r>
      <w:r w:rsidR="007061A3" w:rsidRPr="00166531">
        <w:t xml:space="preserve"> delivered by the </w:t>
      </w:r>
      <w:r w:rsidR="004B74E0" w:rsidRPr="00166531">
        <w:t xml:space="preserve">department and as a </w:t>
      </w:r>
      <w:r w:rsidR="003E6F60" w:rsidRPr="00166531">
        <w:t xml:space="preserve">    </w:t>
      </w:r>
      <w:r w:rsidR="004B74E0" w:rsidRPr="00166531">
        <w:t xml:space="preserve">consequence there is a move away from SQA qualifications and replaced by City and Guilds qualifications. This ensures greater continuity between the two campuses and the currency and structure of the C&amp;G qualifications should be more suitable for students achieving valuable employability skills.  In addition, staff have invited more external speakers and visits to local establishments to raise awareness of </w:t>
      </w:r>
      <w:r w:rsidR="003E6F60" w:rsidRPr="00166531">
        <w:t xml:space="preserve">the </w:t>
      </w:r>
      <w:r w:rsidR="004B74E0" w:rsidRPr="00166531">
        <w:t>different parts of hospitality and job opportunities.</w:t>
      </w:r>
      <w:r w:rsidR="003E6F60" w:rsidRPr="00166531">
        <w:t xml:space="preserve">  One visit planned is to </w:t>
      </w:r>
      <w:r w:rsidR="004B74E0" w:rsidRPr="00166531">
        <w:t>ScotHot (Culinary exhibition in Glasgow</w:t>
      </w:r>
      <w:r w:rsidR="003E6F60" w:rsidRPr="00166531">
        <w:t xml:space="preserve">) with the opportunity to partake in various </w:t>
      </w:r>
      <w:r w:rsidR="004B74E0" w:rsidRPr="00166531">
        <w:t>competitions</w:t>
      </w:r>
      <w:r w:rsidR="00BB59FA">
        <w:t xml:space="preserve">.  </w:t>
      </w:r>
      <w:r w:rsidR="004B74E0" w:rsidRPr="00166531">
        <w:t>Plans are in place to raise the profile of both</w:t>
      </w:r>
      <w:r w:rsidR="007061A3" w:rsidRPr="00166531">
        <w:t xml:space="preserve"> training restaurant</w:t>
      </w:r>
      <w:r w:rsidR="004B74E0" w:rsidRPr="00166531">
        <w:t xml:space="preserve"> </w:t>
      </w:r>
      <w:r w:rsidR="007061A3" w:rsidRPr="00166531">
        <w:t>to increase number of external visitors, especially in Motherwell.</w:t>
      </w:r>
    </w:p>
    <w:p w:rsidR="00BB59FA" w:rsidRDefault="00BB59FA" w:rsidP="00BB59FA">
      <w:pPr>
        <w:spacing w:after="0" w:line="240" w:lineRule="auto"/>
        <w:jc w:val="both"/>
      </w:pPr>
    </w:p>
    <w:p w:rsidR="00BB59FA" w:rsidRPr="00166531" w:rsidRDefault="00BB59FA" w:rsidP="00BB59FA">
      <w:pPr>
        <w:pStyle w:val="Heading3"/>
        <w:spacing w:before="0" w:line="240" w:lineRule="auto"/>
        <w:ind w:left="567" w:hanging="567"/>
        <w:rPr>
          <w:b/>
        </w:rPr>
      </w:pPr>
      <w:r w:rsidRPr="00166531">
        <w:rPr>
          <w:b/>
        </w:rPr>
        <w:t>6</w:t>
      </w:r>
      <w:r>
        <w:rPr>
          <w:b/>
        </w:rPr>
        <w:t>.</w:t>
      </w:r>
      <w:r w:rsidRPr="00166531">
        <w:rPr>
          <w:b/>
        </w:rPr>
        <w:tab/>
        <w:t>DEPARTMENTAL UPDATES</w:t>
      </w:r>
      <w:r>
        <w:rPr>
          <w:b/>
        </w:rPr>
        <w:t xml:space="preserve"> (</w:t>
      </w:r>
      <w:r w:rsidR="005B6F3A">
        <w:rPr>
          <w:b/>
        </w:rPr>
        <w:t>cont.</w:t>
      </w:r>
      <w:r>
        <w:rPr>
          <w:b/>
        </w:rPr>
        <w:t>)</w:t>
      </w:r>
    </w:p>
    <w:p w:rsidR="00BB59FA" w:rsidRDefault="00BB59FA" w:rsidP="00BB59FA">
      <w:pPr>
        <w:spacing w:after="0" w:line="240" w:lineRule="auto"/>
        <w:jc w:val="both"/>
      </w:pPr>
    </w:p>
    <w:p w:rsidR="003D20B1" w:rsidRPr="00166531" w:rsidRDefault="00D77BAC" w:rsidP="006F302A">
      <w:pPr>
        <w:pStyle w:val="ListParagraph"/>
        <w:numPr>
          <w:ilvl w:val="1"/>
          <w:numId w:val="13"/>
        </w:numPr>
        <w:spacing w:after="0" w:line="240" w:lineRule="auto"/>
        <w:ind w:left="567" w:hanging="567"/>
        <w:jc w:val="both"/>
      </w:pPr>
      <w:r w:rsidRPr="00166531">
        <w:rPr>
          <w:b/>
        </w:rPr>
        <w:t>Dental</w:t>
      </w:r>
      <w:r w:rsidR="00A625EF" w:rsidRPr="00166531">
        <w:rPr>
          <w:b/>
        </w:rPr>
        <w:t xml:space="preserve">, Health and </w:t>
      </w:r>
      <w:r w:rsidRPr="00166531">
        <w:rPr>
          <w:b/>
        </w:rPr>
        <w:t>Social</w:t>
      </w:r>
      <w:r w:rsidR="00A625EF" w:rsidRPr="00166531">
        <w:rPr>
          <w:b/>
        </w:rPr>
        <w:t xml:space="preserve"> Care</w:t>
      </w:r>
      <w:r w:rsidR="002D61D0" w:rsidRPr="00166531">
        <w:t xml:space="preserve"> department </w:t>
      </w:r>
      <w:r w:rsidR="003D20B1" w:rsidRPr="00166531">
        <w:t xml:space="preserve">will continue with Employer Engagement Events following </w:t>
      </w:r>
      <w:r w:rsidR="004461A7" w:rsidRPr="00166531">
        <w:t xml:space="preserve">the </w:t>
      </w:r>
      <w:r w:rsidR="003D20B1" w:rsidRPr="00166531">
        <w:t xml:space="preserve">successful event in March </w:t>
      </w:r>
      <w:r w:rsidR="004461A7" w:rsidRPr="00166531">
        <w:t>2024.</w:t>
      </w:r>
      <w:r w:rsidR="003D20B1" w:rsidRPr="00166531">
        <w:t xml:space="preserve"> </w:t>
      </w:r>
      <w:r w:rsidR="004461A7" w:rsidRPr="00166531">
        <w:t xml:space="preserve">One aspect the department intends to </w:t>
      </w:r>
      <w:r w:rsidR="003D20B1" w:rsidRPr="00166531">
        <w:t xml:space="preserve">promote </w:t>
      </w:r>
      <w:r w:rsidR="004461A7" w:rsidRPr="00166531">
        <w:t xml:space="preserve">is </w:t>
      </w:r>
      <w:r w:rsidR="003D20B1" w:rsidRPr="00166531">
        <w:t xml:space="preserve">‘earn as you learn’ and </w:t>
      </w:r>
      <w:r w:rsidR="004461A7" w:rsidRPr="00166531">
        <w:t xml:space="preserve">early discussions with key employers, </w:t>
      </w:r>
      <w:r w:rsidR="003D20B1" w:rsidRPr="00166531">
        <w:t>including NHS</w:t>
      </w:r>
      <w:r w:rsidR="004461A7" w:rsidRPr="00166531">
        <w:t>,</w:t>
      </w:r>
      <w:r w:rsidR="003D20B1" w:rsidRPr="00166531">
        <w:t xml:space="preserve"> regarding employ</w:t>
      </w:r>
      <w:r w:rsidR="004461A7" w:rsidRPr="00166531">
        <w:t>ment for</w:t>
      </w:r>
      <w:r w:rsidR="003D20B1" w:rsidRPr="00166531">
        <w:t xml:space="preserve"> students from August to enable them to attend college and work</w:t>
      </w:r>
      <w:r w:rsidR="004461A7" w:rsidRPr="00166531">
        <w:t xml:space="preserve">, as well as </w:t>
      </w:r>
      <w:r w:rsidR="003D20B1" w:rsidRPr="00166531">
        <w:t xml:space="preserve">negotiating hours worked </w:t>
      </w:r>
      <w:r w:rsidR="004461A7" w:rsidRPr="00166531">
        <w:t xml:space="preserve">could also be attributed as </w:t>
      </w:r>
      <w:r w:rsidR="003D20B1" w:rsidRPr="00166531">
        <w:t>placement hours required</w:t>
      </w:r>
      <w:r w:rsidR="004461A7" w:rsidRPr="00166531">
        <w:t xml:space="preserve"> to achieve a qualification</w:t>
      </w:r>
      <w:r w:rsidR="003D20B1" w:rsidRPr="00166531">
        <w:t xml:space="preserve">. </w:t>
      </w:r>
      <w:r w:rsidR="004461A7" w:rsidRPr="00166531">
        <w:t xml:space="preserve"> </w:t>
      </w:r>
      <w:r w:rsidR="003D20B1" w:rsidRPr="00166531">
        <w:t xml:space="preserve">This </w:t>
      </w:r>
      <w:r w:rsidR="004461A7" w:rsidRPr="00166531">
        <w:t xml:space="preserve">new approach </w:t>
      </w:r>
      <w:r w:rsidR="003D20B1" w:rsidRPr="00166531">
        <w:t>aligns to the Retention and the</w:t>
      </w:r>
      <w:r w:rsidR="004461A7" w:rsidRPr="00166531">
        <w:t xml:space="preserve"> Be</w:t>
      </w:r>
      <w:r w:rsidR="003D20B1" w:rsidRPr="00166531">
        <w:t xml:space="preserve"> </w:t>
      </w:r>
      <w:r w:rsidR="004461A7" w:rsidRPr="00166531">
        <w:t>F</w:t>
      </w:r>
      <w:r w:rsidR="003D20B1" w:rsidRPr="00166531">
        <w:t xml:space="preserve">inancially </w:t>
      </w:r>
      <w:r w:rsidR="004461A7" w:rsidRPr="00166531">
        <w:t>F</w:t>
      </w:r>
      <w:r w:rsidR="003D20B1" w:rsidRPr="00166531">
        <w:t xml:space="preserve">it </w:t>
      </w:r>
      <w:r w:rsidR="004461A7" w:rsidRPr="00166531">
        <w:t>campaign</w:t>
      </w:r>
      <w:r w:rsidR="003D20B1" w:rsidRPr="00166531">
        <w:t xml:space="preserve"> to support our students. </w:t>
      </w:r>
    </w:p>
    <w:p w:rsidR="004461A7" w:rsidRPr="00166531" w:rsidRDefault="004461A7" w:rsidP="006F302A">
      <w:pPr>
        <w:pStyle w:val="ListParagraph"/>
        <w:spacing w:after="0" w:line="240" w:lineRule="auto"/>
        <w:ind w:left="567" w:hanging="567"/>
        <w:jc w:val="both"/>
      </w:pPr>
    </w:p>
    <w:p w:rsidR="003D20B1" w:rsidRPr="00166531" w:rsidRDefault="006F302A" w:rsidP="006F302A">
      <w:pPr>
        <w:pStyle w:val="ListParagraph"/>
        <w:spacing w:after="0" w:line="240" w:lineRule="auto"/>
        <w:ind w:left="567" w:hanging="567"/>
        <w:jc w:val="both"/>
      </w:pPr>
      <w:r>
        <w:tab/>
      </w:r>
      <w:r w:rsidR="003D20B1" w:rsidRPr="00166531">
        <w:t xml:space="preserve">Staff continue to </w:t>
      </w:r>
      <w:r w:rsidR="008F4EAE" w:rsidRPr="00166531">
        <w:t xml:space="preserve">review and </w:t>
      </w:r>
      <w:r w:rsidR="003D20B1" w:rsidRPr="00166531">
        <w:t xml:space="preserve">rewrite </w:t>
      </w:r>
      <w:r w:rsidR="008F4EAE" w:rsidRPr="00166531">
        <w:t>the SCQF level</w:t>
      </w:r>
      <w:r w:rsidR="003D20B1" w:rsidRPr="00166531">
        <w:t xml:space="preserve"> 6 </w:t>
      </w:r>
      <w:r w:rsidR="008F4EAE" w:rsidRPr="00166531">
        <w:t>H</w:t>
      </w:r>
      <w:r w:rsidR="003D20B1" w:rsidRPr="00166531">
        <w:t xml:space="preserve">ealth and </w:t>
      </w:r>
      <w:r w:rsidR="008F4EAE" w:rsidRPr="00166531">
        <w:t>S</w:t>
      </w:r>
      <w:r w:rsidR="003D20B1" w:rsidRPr="00166531">
        <w:t xml:space="preserve">ocial </w:t>
      </w:r>
      <w:r w:rsidR="008F4EAE" w:rsidRPr="00166531">
        <w:t>C</w:t>
      </w:r>
      <w:r w:rsidR="003D20B1" w:rsidRPr="00166531">
        <w:t xml:space="preserve">are qualification </w:t>
      </w:r>
      <w:r w:rsidR="008F4EAE" w:rsidRPr="00166531">
        <w:t xml:space="preserve">for delivery in </w:t>
      </w:r>
      <w:r w:rsidR="003D20B1" w:rsidRPr="00166531">
        <w:t>August 2025</w:t>
      </w:r>
      <w:r w:rsidR="008F4EAE" w:rsidRPr="00166531">
        <w:t xml:space="preserve">, so that on successful completion students will be able to register </w:t>
      </w:r>
      <w:r w:rsidR="003D20B1" w:rsidRPr="00166531">
        <w:t xml:space="preserve">with SSSC and to support the </w:t>
      </w:r>
      <w:r w:rsidR="008F4EAE" w:rsidRPr="00166531">
        <w:t xml:space="preserve">staffing demands of the </w:t>
      </w:r>
      <w:r w:rsidR="003D20B1" w:rsidRPr="00166531">
        <w:t xml:space="preserve">health and social care </w:t>
      </w:r>
      <w:r w:rsidR="008F4EAE" w:rsidRPr="00166531">
        <w:t>employers.  Both students</w:t>
      </w:r>
      <w:r w:rsidR="003D20B1" w:rsidRPr="00166531">
        <w:t xml:space="preserve"> and employer partners have been involved in the design of this programme.</w:t>
      </w:r>
    </w:p>
    <w:p w:rsidR="008F4EAE" w:rsidRPr="00166531" w:rsidRDefault="008F4EAE" w:rsidP="006F302A">
      <w:pPr>
        <w:pStyle w:val="ListParagraph"/>
        <w:spacing w:after="0" w:line="240" w:lineRule="auto"/>
        <w:ind w:left="567" w:hanging="567"/>
        <w:jc w:val="both"/>
      </w:pPr>
    </w:p>
    <w:p w:rsidR="003D20B1" w:rsidRPr="00166531" w:rsidRDefault="006F302A" w:rsidP="006F302A">
      <w:pPr>
        <w:pStyle w:val="ListParagraph"/>
        <w:spacing w:after="0" w:line="240" w:lineRule="auto"/>
        <w:ind w:left="567" w:hanging="567"/>
        <w:jc w:val="both"/>
      </w:pPr>
      <w:r>
        <w:tab/>
      </w:r>
      <w:r w:rsidR="008F4EAE" w:rsidRPr="00166531">
        <w:t xml:space="preserve">Introducing a </w:t>
      </w:r>
      <w:r w:rsidR="003D20B1" w:rsidRPr="00166531">
        <w:t xml:space="preserve">part time SWAP Access to Nursing </w:t>
      </w:r>
      <w:r w:rsidR="008F4EAE" w:rsidRPr="00166531">
        <w:t xml:space="preserve">programme </w:t>
      </w:r>
      <w:r w:rsidR="003D20B1" w:rsidRPr="00166531">
        <w:t xml:space="preserve">has </w:t>
      </w:r>
      <w:r w:rsidR="008F4EAE" w:rsidRPr="00166531">
        <w:t xml:space="preserve">been explored </w:t>
      </w:r>
      <w:r w:rsidR="003D20B1" w:rsidRPr="00166531">
        <w:t xml:space="preserve">with SWAP West </w:t>
      </w:r>
      <w:r w:rsidR="008F4EAE" w:rsidRPr="00166531">
        <w:t xml:space="preserve">which will </w:t>
      </w:r>
      <w:r w:rsidR="003D20B1" w:rsidRPr="00166531">
        <w:t xml:space="preserve">support </w:t>
      </w:r>
      <w:r w:rsidR="008F4EAE" w:rsidRPr="00166531">
        <w:t xml:space="preserve">students in relation to </w:t>
      </w:r>
      <w:r w:rsidR="003D20B1" w:rsidRPr="00166531">
        <w:t>financ</w:t>
      </w:r>
      <w:r w:rsidR="008F4EAE" w:rsidRPr="00166531">
        <w:t>e as well as widening access.  Subject to internal approval, the aspiration is this part time option is launched in January 2025.</w:t>
      </w:r>
    </w:p>
    <w:p w:rsidR="008F4EAE" w:rsidRDefault="008F4EAE" w:rsidP="006F302A">
      <w:pPr>
        <w:pStyle w:val="ListParagraph"/>
        <w:spacing w:after="0" w:line="240" w:lineRule="auto"/>
        <w:ind w:left="567" w:hanging="567"/>
        <w:jc w:val="both"/>
      </w:pPr>
    </w:p>
    <w:p w:rsidR="003D20B1" w:rsidRPr="00166531" w:rsidRDefault="006F302A" w:rsidP="006F302A">
      <w:pPr>
        <w:pStyle w:val="ListParagraph"/>
        <w:spacing w:after="0" w:line="240" w:lineRule="auto"/>
        <w:ind w:left="567" w:hanging="567"/>
        <w:jc w:val="both"/>
      </w:pPr>
      <w:r>
        <w:tab/>
      </w:r>
      <w:r w:rsidR="003D20B1" w:rsidRPr="00166531">
        <w:t xml:space="preserve">All three campuses now have dementia living rooms and clever touch </w:t>
      </w:r>
      <w:r w:rsidR="001600DD" w:rsidRPr="00166531">
        <w:t>TVs</w:t>
      </w:r>
      <w:r w:rsidR="003D20B1" w:rsidRPr="00166531">
        <w:t xml:space="preserve">. </w:t>
      </w:r>
      <w:r w:rsidR="001600DD" w:rsidRPr="00166531">
        <w:t xml:space="preserve">During the summer period, </w:t>
      </w:r>
      <w:r w:rsidR="003D20B1" w:rsidRPr="00166531">
        <w:t>Motherwell campus skills lab</w:t>
      </w:r>
      <w:r w:rsidR="001600DD" w:rsidRPr="00166531">
        <w:t xml:space="preserve"> was</w:t>
      </w:r>
      <w:r w:rsidR="003D20B1" w:rsidRPr="00166531">
        <w:t xml:space="preserve"> up dated which will provide </w:t>
      </w:r>
      <w:r w:rsidR="001600DD" w:rsidRPr="00166531">
        <w:t>an enhanced</w:t>
      </w:r>
      <w:r w:rsidR="003D20B1" w:rsidRPr="00166531">
        <w:t xml:space="preserve"> teaching space for health care students. </w:t>
      </w:r>
    </w:p>
    <w:p w:rsidR="001600DD" w:rsidRPr="00166531" w:rsidRDefault="001600DD" w:rsidP="006F302A">
      <w:pPr>
        <w:pStyle w:val="ListParagraph"/>
        <w:spacing w:after="0" w:line="240" w:lineRule="auto"/>
        <w:ind w:left="567" w:hanging="567"/>
        <w:jc w:val="both"/>
      </w:pPr>
    </w:p>
    <w:p w:rsidR="003D20B1" w:rsidRDefault="006F302A" w:rsidP="006F302A">
      <w:pPr>
        <w:pStyle w:val="ListParagraph"/>
        <w:spacing w:after="0" w:line="240" w:lineRule="auto"/>
        <w:ind w:left="567" w:hanging="567"/>
        <w:jc w:val="both"/>
      </w:pPr>
      <w:r>
        <w:tab/>
      </w:r>
      <w:r w:rsidR="001600DD" w:rsidRPr="00166531">
        <w:t xml:space="preserve">Utilising funding from the </w:t>
      </w:r>
      <w:r w:rsidR="003D20B1" w:rsidRPr="00166531">
        <w:t>UKRI project</w:t>
      </w:r>
      <w:r w:rsidR="001600DD" w:rsidRPr="00166531">
        <w:t xml:space="preserve">, </w:t>
      </w:r>
      <w:r w:rsidR="003D20B1" w:rsidRPr="00166531">
        <w:t>6 staff from</w:t>
      </w:r>
      <w:r w:rsidR="001600DD" w:rsidRPr="00166531">
        <w:t xml:space="preserve"> the department have made significant</w:t>
      </w:r>
      <w:r>
        <w:t xml:space="preserve"> </w:t>
      </w:r>
      <w:r w:rsidR="001600DD" w:rsidRPr="00166531">
        <w:t xml:space="preserve"> </w:t>
      </w:r>
      <w:r w:rsidR="003D20B1" w:rsidRPr="00166531">
        <w:t xml:space="preserve"> progress </w:t>
      </w:r>
      <w:r w:rsidR="001600DD" w:rsidRPr="00166531">
        <w:t>on a number of projects including</w:t>
      </w:r>
      <w:r w:rsidR="003D20B1" w:rsidRPr="00166531">
        <w:t xml:space="preserve"> the promotion of the successful QR codes used by staff</w:t>
      </w:r>
      <w:r w:rsidR="00351300">
        <w:t xml:space="preserve"> and </w:t>
      </w:r>
      <w:r w:rsidR="001600DD" w:rsidRPr="00166531">
        <w:t xml:space="preserve">development of </w:t>
      </w:r>
      <w:r w:rsidR="003D20B1" w:rsidRPr="00166531">
        <w:t xml:space="preserve">AI units on health </w:t>
      </w:r>
      <w:r w:rsidR="001600DD" w:rsidRPr="00166531">
        <w:t xml:space="preserve">and dental </w:t>
      </w:r>
      <w:r w:rsidR="003D20B1" w:rsidRPr="00166531">
        <w:t>care</w:t>
      </w:r>
      <w:r w:rsidR="001600DD" w:rsidRPr="00166531">
        <w:t>.</w:t>
      </w:r>
    </w:p>
    <w:p w:rsidR="006F302A" w:rsidRDefault="006F302A" w:rsidP="006F302A">
      <w:pPr>
        <w:pStyle w:val="ListParagraph"/>
        <w:spacing w:after="0" w:line="240" w:lineRule="auto"/>
        <w:ind w:left="567" w:hanging="567"/>
        <w:jc w:val="both"/>
      </w:pPr>
    </w:p>
    <w:p w:rsidR="00A625EF" w:rsidRPr="00166531" w:rsidRDefault="00A625EF" w:rsidP="006F302A">
      <w:pPr>
        <w:pStyle w:val="ListParagraph"/>
        <w:numPr>
          <w:ilvl w:val="1"/>
          <w:numId w:val="13"/>
        </w:numPr>
        <w:spacing w:after="0" w:line="240" w:lineRule="auto"/>
        <w:ind w:left="567" w:hanging="567"/>
        <w:jc w:val="both"/>
      </w:pPr>
      <w:r w:rsidRPr="00166531">
        <w:rPr>
          <w:b/>
        </w:rPr>
        <w:t>Education and Counselling</w:t>
      </w:r>
      <w:r w:rsidR="004B14C3" w:rsidRPr="00166531">
        <w:t xml:space="preserve"> department</w:t>
      </w:r>
      <w:r w:rsidR="003244CE" w:rsidRPr="00166531">
        <w:t>’s strategic approach this year will incorporate alternative models to deliver our curriculum.  While traditional approaches to learning through a classroom-based approach work well, an increasing appetite to learn whilst at work, online, or from home is apparent.  In response to a specific training need with North Lanarkshire Council, the Education team have started digitising the underpinning knowledge aspects to the core SVQ</w:t>
      </w:r>
      <w:r w:rsidR="006F302A">
        <w:t>.  T</w:t>
      </w:r>
      <w:r w:rsidR="003244CE" w:rsidRPr="00166531">
        <w:t xml:space="preserve">his allows students who predominantly gain their qualifications within the workplace to study at a time and pace that suits their lifestyle and preference.  This enhancement to our delivery model allows for greater flexibility, particularly for working communities and those with caring responsibilities.  </w:t>
      </w:r>
    </w:p>
    <w:p w:rsidR="003244CE" w:rsidRPr="00166531" w:rsidRDefault="003244CE" w:rsidP="006F302A">
      <w:pPr>
        <w:pStyle w:val="ListParagraph"/>
        <w:spacing w:after="0" w:line="240" w:lineRule="auto"/>
        <w:ind w:left="567" w:hanging="567"/>
        <w:jc w:val="both"/>
      </w:pPr>
    </w:p>
    <w:p w:rsidR="003244CE" w:rsidRPr="00166531" w:rsidRDefault="003244CE" w:rsidP="006F302A">
      <w:pPr>
        <w:pStyle w:val="ListParagraph"/>
        <w:spacing w:after="0" w:line="240" w:lineRule="auto"/>
        <w:ind w:left="567" w:hanging="567"/>
        <w:jc w:val="both"/>
      </w:pPr>
    </w:p>
    <w:p w:rsidR="00401ACE" w:rsidRPr="00166531" w:rsidRDefault="00A625EF" w:rsidP="006F302A">
      <w:pPr>
        <w:pStyle w:val="ListParagraph"/>
        <w:numPr>
          <w:ilvl w:val="1"/>
          <w:numId w:val="13"/>
        </w:numPr>
        <w:spacing w:after="0" w:line="240" w:lineRule="auto"/>
        <w:ind w:left="567" w:hanging="567"/>
        <w:jc w:val="both"/>
      </w:pPr>
      <w:r w:rsidRPr="00166531">
        <w:rPr>
          <w:b/>
        </w:rPr>
        <w:t>Humanities</w:t>
      </w:r>
      <w:r w:rsidR="009D1FEF" w:rsidRPr="00166531">
        <w:t xml:space="preserve"> </w:t>
      </w:r>
      <w:r w:rsidR="00401ACE" w:rsidRPr="00166531">
        <w:t xml:space="preserve">department recognising the success of last year’s Breaking the Cycle conference held at Coatbridge campus, the department will be holding a second conference this year.  The aim is for this to be held around November. </w:t>
      </w:r>
    </w:p>
    <w:p w:rsidR="00401ACE" w:rsidRPr="00166531" w:rsidRDefault="00401ACE" w:rsidP="006F302A">
      <w:pPr>
        <w:pStyle w:val="ListParagraph"/>
        <w:spacing w:after="0" w:line="240" w:lineRule="auto"/>
        <w:ind w:left="567" w:hanging="567"/>
        <w:jc w:val="both"/>
      </w:pPr>
    </w:p>
    <w:p w:rsidR="00401ACE" w:rsidRPr="00166531" w:rsidRDefault="006F302A" w:rsidP="006F302A">
      <w:pPr>
        <w:pStyle w:val="ListParagraph"/>
        <w:spacing w:after="0" w:line="240" w:lineRule="auto"/>
        <w:ind w:left="567" w:hanging="567"/>
        <w:jc w:val="both"/>
      </w:pPr>
      <w:r>
        <w:tab/>
      </w:r>
      <w:r w:rsidR="00401ACE" w:rsidRPr="00166531">
        <w:t xml:space="preserve">For the first time, a group of </w:t>
      </w:r>
      <w:r>
        <w:t xml:space="preserve">five </w:t>
      </w:r>
      <w:r w:rsidR="00401ACE" w:rsidRPr="00166531">
        <w:t xml:space="preserve">HN Social Science students went on a </w:t>
      </w:r>
      <w:r>
        <w:t>four</w:t>
      </w:r>
      <w:r w:rsidR="005B6F3A">
        <w:t>-</w:t>
      </w:r>
      <w:r w:rsidR="00BB59FA">
        <w:t>w</w:t>
      </w:r>
      <w:r w:rsidR="00401ACE" w:rsidRPr="00166531">
        <w:t xml:space="preserve">eek mobility placement to Pistoia, Italy via the Turing scheme.  As part of the trip they completed a Social Science based project comparing the social, economic and political differences between Italy and the UK. The </w:t>
      </w:r>
      <w:r w:rsidR="005B6F3A" w:rsidRPr="00166531">
        <w:t>students</w:t>
      </w:r>
      <w:r w:rsidR="00401ACE" w:rsidRPr="00166531">
        <w:t xml:space="preserve"> complete</w:t>
      </w:r>
      <w:r w:rsidR="004C4E6C">
        <w:t>d</w:t>
      </w:r>
      <w:r w:rsidR="00401ACE" w:rsidRPr="00166531">
        <w:t xml:space="preserve"> reports as part of the placement and met weekly with the Mobilities team/hosts.</w:t>
      </w:r>
    </w:p>
    <w:p w:rsidR="005B6F3A" w:rsidRDefault="005B6F3A"/>
    <w:p w:rsidR="005B6F3A" w:rsidRDefault="005B6F3A" w:rsidP="005B6F3A">
      <w:pPr>
        <w:spacing w:after="0" w:line="240" w:lineRule="auto"/>
      </w:pPr>
    </w:p>
    <w:p w:rsidR="00BB59FA" w:rsidRPr="00166531" w:rsidRDefault="00BB59FA" w:rsidP="005B6F3A">
      <w:pPr>
        <w:pStyle w:val="Heading3"/>
        <w:spacing w:before="0" w:line="240" w:lineRule="auto"/>
        <w:ind w:left="567" w:hanging="567"/>
        <w:rPr>
          <w:b/>
        </w:rPr>
      </w:pPr>
      <w:r w:rsidRPr="00166531">
        <w:rPr>
          <w:b/>
        </w:rPr>
        <w:t>6</w:t>
      </w:r>
      <w:r>
        <w:rPr>
          <w:b/>
        </w:rPr>
        <w:t>.</w:t>
      </w:r>
      <w:r w:rsidRPr="00166531">
        <w:rPr>
          <w:b/>
        </w:rPr>
        <w:tab/>
        <w:t>DEPARTMENTAL UPDATES</w:t>
      </w:r>
      <w:r>
        <w:rPr>
          <w:b/>
        </w:rPr>
        <w:t xml:space="preserve"> (</w:t>
      </w:r>
      <w:r w:rsidR="005B6F3A">
        <w:rPr>
          <w:b/>
        </w:rPr>
        <w:t>cont.</w:t>
      </w:r>
      <w:r>
        <w:rPr>
          <w:b/>
        </w:rPr>
        <w:t>)</w:t>
      </w:r>
    </w:p>
    <w:p w:rsidR="00BB59FA" w:rsidRDefault="00BB59FA" w:rsidP="00BB59FA">
      <w:pPr>
        <w:spacing w:after="0" w:line="240" w:lineRule="auto"/>
      </w:pPr>
    </w:p>
    <w:p w:rsidR="00401ACE" w:rsidRPr="00166531" w:rsidRDefault="00BB59FA" w:rsidP="00BB59FA">
      <w:pPr>
        <w:pStyle w:val="ListParagraph"/>
        <w:spacing w:after="0" w:line="240" w:lineRule="auto"/>
        <w:ind w:left="567" w:hanging="567"/>
        <w:jc w:val="both"/>
      </w:pPr>
      <w:r>
        <w:t>6.9</w:t>
      </w:r>
      <w:r>
        <w:tab/>
      </w:r>
      <w:r w:rsidR="00401ACE" w:rsidRPr="00166531">
        <w:t>Some brief feedback from the host partner:</w:t>
      </w:r>
    </w:p>
    <w:p w:rsidR="00401ACE" w:rsidRPr="00166531" w:rsidRDefault="00401ACE" w:rsidP="00BB59FA">
      <w:pPr>
        <w:pStyle w:val="ListParagraph"/>
        <w:spacing w:after="0" w:line="240" w:lineRule="auto"/>
        <w:ind w:left="567" w:hanging="567"/>
        <w:jc w:val="both"/>
      </w:pPr>
    </w:p>
    <w:p w:rsidR="00401ACE" w:rsidRPr="00166531" w:rsidRDefault="006F302A" w:rsidP="00BB59FA">
      <w:pPr>
        <w:pStyle w:val="ListParagraph"/>
        <w:spacing w:after="0" w:line="240" w:lineRule="auto"/>
        <w:ind w:left="567" w:hanging="567"/>
        <w:jc w:val="both"/>
        <w:rPr>
          <w:i/>
        </w:rPr>
      </w:pPr>
      <w:r>
        <w:rPr>
          <w:i/>
        </w:rPr>
        <w:tab/>
      </w:r>
      <w:r w:rsidR="00401ACE" w:rsidRPr="00166531">
        <w:rPr>
          <w:i/>
        </w:rPr>
        <w:t>We are delighted to hear that the students had a positive experience. It was a pleasure to host them and assist with their research project. The guests they interviewed expressed their satisfaction with the interesting questions posed and were impressed by the students' enthusiasm and politeness.  From our perspective, the experience was equally positive, and we have no suggestions for improvement. We look forward to future collaborations with you.</w:t>
      </w:r>
    </w:p>
    <w:p w:rsidR="00401ACE" w:rsidRPr="00166531" w:rsidRDefault="00401ACE" w:rsidP="00BB59FA">
      <w:pPr>
        <w:pStyle w:val="ListParagraph"/>
        <w:spacing w:after="0" w:line="240" w:lineRule="auto"/>
        <w:ind w:left="567" w:hanging="567"/>
        <w:jc w:val="both"/>
      </w:pPr>
    </w:p>
    <w:p w:rsidR="00401ACE" w:rsidRDefault="006F302A" w:rsidP="00BB59FA">
      <w:pPr>
        <w:pStyle w:val="ListParagraph"/>
        <w:spacing w:after="0" w:line="240" w:lineRule="auto"/>
        <w:ind w:left="567" w:hanging="567"/>
        <w:jc w:val="both"/>
      </w:pPr>
      <w:r>
        <w:tab/>
      </w:r>
      <w:r w:rsidR="00401ACE" w:rsidRPr="00166531">
        <w:t xml:space="preserve">The department are hoping to repeat this positive experience for students this year and will work with mobilities team to promote within the department. </w:t>
      </w:r>
    </w:p>
    <w:p w:rsidR="00172B59" w:rsidRDefault="00172B59" w:rsidP="00BB59FA">
      <w:pPr>
        <w:spacing w:after="0" w:line="240" w:lineRule="auto"/>
      </w:pPr>
    </w:p>
    <w:p w:rsidR="00B02669" w:rsidRPr="00166531" w:rsidRDefault="00D77BAC" w:rsidP="00172B59">
      <w:pPr>
        <w:pStyle w:val="ListParagraph"/>
        <w:numPr>
          <w:ilvl w:val="1"/>
          <w:numId w:val="13"/>
        </w:numPr>
        <w:spacing w:after="0" w:line="240" w:lineRule="auto"/>
        <w:ind w:left="567" w:hanging="567"/>
        <w:jc w:val="both"/>
      </w:pPr>
      <w:r w:rsidRPr="00166531">
        <w:rPr>
          <w:b/>
        </w:rPr>
        <w:t>Lanarkshire</w:t>
      </w:r>
      <w:r w:rsidR="00A625EF" w:rsidRPr="00166531">
        <w:rPr>
          <w:b/>
        </w:rPr>
        <w:t xml:space="preserve"> Business School</w:t>
      </w:r>
      <w:r w:rsidR="004B14C3" w:rsidRPr="00166531">
        <w:t xml:space="preserve"> </w:t>
      </w:r>
      <w:r w:rsidR="00B02669" w:rsidRPr="00166531">
        <w:t>is delighted to be offering two new degrees, starting in September.</w:t>
      </w:r>
    </w:p>
    <w:p w:rsidR="00B02669" w:rsidRPr="00166531" w:rsidRDefault="00B02669" w:rsidP="00172B59">
      <w:pPr>
        <w:pStyle w:val="ListParagraph"/>
        <w:spacing w:after="0" w:line="240" w:lineRule="auto"/>
        <w:ind w:left="567" w:hanging="567"/>
        <w:jc w:val="both"/>
        <w:rPr>
          <w:b/>
        </w:rPr>
      </w:pPr>
    </w:p>
    <w:p w:rsidR="00B02669" w:rsidRPr="00166531" w:rsidRDefault="00172B59" w:rsidP="00172B59">
      <w:pPr>
        <w:pStyle w:val="ListParagraph"/>
        <w:spacing w:after="0" w:line="240" w:lineRule="auto"/>
        <w:ind w:left="567" w:hanging="567"/>
        <w:jc w:val="both"/>
        <w:rPr>
          <w:b/>
        </w:rPr>
      </w:pPr>
      <w:r>
        <w:rPr>
          <w:b/>
        </w:rPr>
        <w:tab/>
      </w:r>
      <w:r w:rsidR="00B02669" w:rsidRPr="00166531">
        <w:rPr>
          <w:b/>
        </w:rPr>
        <w:t>B.A. Business and Sustainability</w:t>
      </w:r>
    </w:p>
    <w:p w:rsidR="00B02669" w:rsidRPr="00166531" w:rsidRDefault="00172B59" w:rsidP="00172B59">
      <w:pPr>
        <w:pStyle w:val="ListParagraph"/>
        <w:spacing w:after="0" w:line="240" w:lineRule="auto"/>
        <w:ind w:left="567" w:hanging="567"/>
        <w:jc w:val="both"/>
      </w:pPr>
      <w:r>
        <w:tab/>
      </w:r>
      <w:r w:rsidR="00B02669" w:rsidRPr="00166531">
        <w:t>Recognising the significance of sustainability in the world of business, and in collaboration with UWS, we have been approved to offer the B.A. Business and Sustainability degree (3</w:t>
      </w:r>
      <w:r w:rsidR="00B02669" w:rsidRPr="00166531">
        <w:rPr>
          <w:vertAlign w:val="superscript"/>
        </w:rPr>
        <w:t>rd</w:t>
      </w:r>
      <w:r w:rsidR="00B02669" w:rsidRPr="00166531">
        <w:t xml:space="preserve"> year entry).  This is a first time offering of this degree and will be delivered solely at NCL.  From September 2025, we will offer study at SCQF level 10 (Honours) which is ground breaking in terms of collaboration with UWS.  We will be the first college in Scotland, working with UWS to be approved for delivery at this level. This is a testament to the level of lecturer commitment and high-quality teaching taking place in our B.A. Business (now lapsed) and the B.A. Accounting at Coatbridge campus and to the strength of our relationship with our colleagues at UWS. </w:t>
      </w:r>
    </w:p>
    <w:p w:rsidR="00B02669" w:rsidRPr="00166531" w:rsidRDefault="00B02669" w:rsidP="00172B59">
      <w:pPr>
        <w:pStyle w:val="ListParagraph"/>
        <w:spacing w:after="0" w:line="240" w:lineRule="auto"/>
        <w:ind w:left="567" w:hanging="567"/>
        <w:jc w:val="both"/>
        <w:rPr>
          <w:b/>
        </w:rPr>
      </w:pPr>
    </w:p>
    <w:p w:rsidR="00B02669" w:rsidRPr="00166531" w:rsidRDefault="00172B59" w:rsidP="00172B59">
      <w:pPr>
        <w:pStyle w:val="ListParagraph"/>
        <w:spacing w:after="0" w:line="240" w:lineRule="auto"/>
        <w:ind w:left="567" w:hanging="567"/>
        <w:jc w:val="both"/>
        <w:rPr>
          <w:b/>
        </w:rPr>
      </w:pPr>
      <w:r>
        <w:rPr>
          <w:b/>
        </w:rPr>
        <w:tab/>
      </w:r>
      <w:r w:rsidR="00B02669" w:rsidRPr="00166531">
        <w:rPr>
          <w:b/>
        </w:rPr>
        <w:t>B.A</w:t>
      </w:r>
      <w:r>
        <w:rPr>
          <w:b/>
        </w:rPr>
        <w:t>.</w:t>
      </w:r>
      <w:r w:rsidR="00B02669" w:rsidRPr="00166531">
        <w:rPr>
          <w:b/>
        </w:rPr>
        <w:t xml:space="preserve"> Business Enterprise and Marketing</w:t>
      </w:r>
    </w:p>
    <w:p w:rsidR="00B02669" w:rsidRPr="00166531" w:rsidRDefault="00172B59" w:rsidP="00172B59">
      <w:pPr>
        <w:pStyle w:val="ListParagraph"/>
        <w:spacing w:after="0" w:line="240" w:lineRule="auto"/>
        <w:ind w:left="567" w:hanging="567"/>
        <w:jc w:val="both"/>
      </w:pPr>
      <w:r>
        <w:tab/>
      </w:r>
      <w:r w:rsidR="00B02669" w:rsidRPr="00166531">
        <w:t>Further collaboration with UWS will see the initiative of a degree programme designed to develop the entrepreneurial spirit of many of our HND students in vocational areas who may not have the opportunity to further their academic studies.  This new degree will equip them with the skills and knowledge needed to thrive in the dynamic world of self-employment or small and medium-sized enterprises (SMEs). Our aim is to provide our students with the opportunity to develop their business acumen, turning their vocational passion into a thriving commercial business. This exciting new venture is unique to NCL and one which we are thrilled to be part of.</w:t>
      </w:r>
    </w:p>
    <w:p w:rsidR="004B14C3" w:rsidRPr="00166531" w:rsidRDefault="004B14C3" w:rsidP="00426EE5">
      <w:pPr>
        <w:pStyle w:val="ListParagraph"/>
        <w:ind w:left="0"/>
      </w:pPr>
    </w:p>
    <w:p w:rsidR="00B02669" w:rsidRPr="00166531" w:rsidRDefault="009337A8" w:rsidP="00172B59">
      <w:pPr>
        <w:pStyle w:val="ListParagraph"/>
        <w:numPr>
          <w:ilvl w:val="1"/>
          <w:numId w:val="13"/>
        </w:numPr>
        <w:spacing w:after="0" w:line="240" w:lineRule="auto"/>
        <w:ind w:left="567" w:hanging="567"/>
        <w:jc w:val="both"/>
      </w:pPr>
      <w:bookmarkStart w:id="3" w:name="_Hlk174871031"/>
      <w:r w:rsidRPr="00166531">
        <w:rPr>
          <w:b/>
        </w:rPr>
        <w:t>Lanarkshire</w:t>
      </w:r>
      <w:r w:rsidR="00D77BAC" w:rsidRPr="00166531">
        <w:rPr>
          <w:b/>
        </w:rPr>
        <w:t xml:space="preserve"> </w:t>
      </w:r>
      <w:r w:rsidRPr="00166531">
        <w:rPr>
          <w:b/>
        </w:rPr>
        <w:t>Institute</w:t>
      </w:r>
      <w:r w:rsidR="00D77BAC" w:rsidRPr="00166531">
        <w:rPr>
          <w:b/>
        </w:rPr>
        <w:t xml:space="preserve"> of Science and </w:t>
      </w:r>
      <w:r w:rsidRPr="00166531">
        <w:rPr>
          <w:b/>
        </w:rPr>
        <w:t>Technology</w:t>
      </w:r>
      <w:r w:rsidR="00303249" w:rsidRPr="00166531">
        <w:t xml:space="preserve"> </w:t>
      </w:r>
      <w:r w:rsidR="00B02669" w:rsidRPr="00166531">
        <w:t>has invested in a smooth tool to further enhance the automated welding process that should lead to greater commercial opportunities. The department is also in discussion with a company to bring Laser welding to the department and further enhance the welding provision</w:t>
      </w:r>
      <w:r w:rsidR="004C4E6C">
        <w:t>.  F</w:t>
      </w:r>
      <w:r w:rsidR="00B02669" w:rsidRPr="00166531">
        <w:t xml:space="preserve">ollowing the acquisition of a new guillotine, students are now enabled to enter the WorldSkills competitions.  The Mechanical area has also updated other equipment with the purchase of </w:t>
      </w:r>
      <w:r w:rsidR="00172B59">
        <w:t xml:space="preserve">three </w:t>
      </w:r>
      <w:r w:rsidR="00B02669" w:rsidRPr="00166531">
        <w:t xml:space="preserve">oil free air compressors and </w:t>
      </w:r>
      <w:r w:rsidR="00172B59">
        <w:t xml:space="preserve">three </w:t>
      </w:r>
      <w:r w:rsidR="00B02669" w:rsidRPr="00166531">
        <w:t>geared drilling machines to enhance the workshop capacities.</w:t>
      </w:r>
    </w:p>
    <w:p w:rsidR="00B02669" w:rsidRPr="00166531" w:rsidRDefault="00B02669" w:rsidP="00172B59">
      <w:pPr>
        <w:pStyle w:val="ListParagraph"/>
        <w:spacing w:after="0" w:line="240" w:lineRule="auto"/>
        <w:ind w:left="567" w:hanging="567"/>
        <w:jc w:val="both"/>
      </w:pPr>
    </w:p>
    <w:p w:rsidR="00BB59FA" w:rsidRDefault="00172B59" w:rsidP="00172B59">
      <w:pPr>
        <w:pStyle w:val="ListParagraph"/>
        <w:spacing w:after="0" w:line="240" w:lineRule="auto"/>
        <w:ind w:left="567" w:hanging="567"/>
        <w:jc w:val="both"/>
      </w:pPr>
      <w:r>
        <w:tab/>
      </w:r>
      <w:r w:rsidR="00B02669" w:rsidRPr="00166531">
        <w:t xml:space="preserve">Two former students have secured permanent full-time design engineer jobs with Scottish Power and this was largely achieved via the partnership working undertaken during their studies.  </w:t>
      </w:r>
    </w:p>
    <w:p w:rsidR="00BB59FA" w:rsidRDefault="00BB59FA" w:rsidP="00172B59">
      <w:pPr>
        <w:pStyle w:val="ListParagraph"/>
        <w:spacing w:after="0" w:line="240" w:lineRule="auto"/>
        <w:ind w:left="567" w:hanging="567"/>
        <w:jc w:val="both"/>
      </w:pPr>
    </w:p>
    <w:p w:rsidR="00BB59FA" w:rsidRDefault="00BB59FA" w:rsidP="00172B59">
      <w:pPr>
        <w:pStyle w:val="ListParagraph"/>
        <w:spacing w:after="0" w:line="240" w:lineRule="auto"/>
        <w:ind w:left="567" w:hanging="567"/>
        <w:jc w:val="both"/>
      </w:pPr>
    </w:p>
    <w:p w:rsidR="00BB59FA" w:rsidRDefault="00BB59FA" w:rsidP="00BB59FA">
      <w:pPr>
        <w:spacing w:after="0" w:line="240" w:lineRule="auto"/>
      </w:pPr>
    </w:p>
    <w:p w:rsidR="00BB59FA" w:rsidRPr="00166531" w:rsidRDefault="00BB59FA" w:rsidP="00BB59FA">
      <w:pPr>
        <w:pStyle w:val="Heading3"/>
        <w:spacing w:before="0" w:line="240" w:lineRule="auto"/>
        <w:ind w:left="567" w:hanging="567"/>
        <w:rPr>
          <w:b/>
        </w:rPr>
      </w:pPr>
      <w:r w:rsidRPr="00166531">
        <w:rPr>
          <w:b/>
        </w:rPr>
        <w:t>6</w:t>
      </w:r>
      <w:r>
        <w:rPr>
          <w:b/>
        </w:rPr>
        <w:t>.</w:t>
      </w:r>
      <w:r w:rsidRPr="00166531">
        <w:rPr>
          <w:b/>
        </w:rPr>
        <w:tab/>
        <w:t>DEPARTMENTAL UPDATES</w:t>
      </w:r>
      <w:r>
        <w:rPr>
          <w:b/>
        </w:rPr>
        <w:t xml:space="preserve"> (</w:t>
      </w:r>
      <w:r w:rsidR="005B6F3A">
        <w:rPr>
          <w:b/>
        </w:rPr>
        <w:t>cont.</w:t>
      </w:r>
      <w:r>
        <w:rPr>
          <w:b/>
        </w:rPr>
        <w:t>)</w:t>
      </w:r>
    </w:p>
    <w:p w:rsidR="00BB59FA" w:rsidRDefault="00BB59FA" w:rsidP="00172B59">
      <w:pPr>
        <w:pStyle w:val="ListParagraph"/>
        <w:spacing w:after="0" w:line="240" w:lineRule="auto"/>
        <w:ind w:left="567" w:hanging="567"/>
        <w:jc w:val="both"/>
      </w:pPr>
    </w:p>
    <w:p w:rsidR="0011040B" w:rsidRPr="00166531" w:rsidRDefault="00BB59FA" w:rsidP="00172B59">
      <w:pPr>
        <w:pStyle w:val="ListParagraph"/>
        <w:spacing w:after="0" w:line="240" w:lineRule="auto"/>
        <w:ind w:left="567" w:hanging="567"/>
        <w:jc w:val="both"/>
      </w:pPr>
      <w:r>
        <w:t>6.11</w:t>
      </w:r>
      <w:r>
        <w:tab/>
      </w:r>
      <w:r w:rsidR="00B02669" w:rsidRPr="00166531">
        <w:t xml:space="preserve">As a consequence of </w:t>
      </w:r>
      <w:r w:rsidR="00AD514F" w:rsidRPr="00166531">
        <w:t>visit GCU power labs</w:t>
      </w:r>
      <w:r w:rsidR="00B02669" w:rsidRPr="00166531">
        <w:t xml:space="preserve">, there are </w:t>
      </w:r>
      <w:r w:rsidR="00AD514F" w:rsidRPr="00166531">
        <w:t xml:space="preserve">now </w:t>
      </w:r>
      <w:r w:rsidR="00B02669" w:rsidRPr="00166531">
        <w:t xml:space="preserve">26 confirmed </w:t>
      </w:r>
      <w:r w:rsidR="00AD514F" w:rsidRPr="00166531">
        <w:t xml:space="preserve">places on </w:t>
      </w:r>
      <w:r w:rsidR="005B6F3A" w:rsidRPr="00166531">
        <w:t>an</w:t>
      </w:r>
      <w:r w:rsidR="00AD514F" w:rsidRPr="00166531">
        <w:t xml:space="preserve"> HND Electrical Engineering course, with most </w:t>
      </w:r>
      <w:r w:rsidR="00B02669" w:rsidRPr="00166531">
        <w:t xml:space="preserve">students considering progression onto </w:t>
      </w:r>
      <w:r w:rsidR="00AD514F" w:rsidRPr="00166531">
        <w:t xml:space="preserve">a degree course after this academic year. This </w:t>
      </w:r>
      <w:r w:rsidR="00B02669" w:rsidRPr="00166531">
        <w:t>is</w:t>
      </w:r>
      <w:r w:rsidR="00AD514F" w:rsidRPr="00166531">
        <w:t xml:space="preserve"> the first time in </w:t>
      </w:r>
      <w:r w:rsidR="00172B59">
        <w:t xml:space="preserve">four </w:t>
      </w:r>
      <w:r w:rsidR="00AD514F" w:rsidRPr="00166531">
        <w:t xml:space="preserve">years that </w:t>
      </w:r>
      <w:r w:rsidR="00B02669" w:rsidRPr="00166531">
        <w:t xml:space="preserve">NCL </w:t>
      </w:r>
      <w:r w:rsidR="00AD514F" w:rsidRPr="00166531">
        <w:t xml:space="preserve">will be running HND Electrical </w:t>
      </w:r>
      <w:r w:rsidR="00B02669" w:rsidRPr="00166531">
        <w:t>Engineering.</w:t>
      </w:r>
    </w:p>
    <w:p w:rsidR="00B02669" w:rsidRPr="00166531" w:rsidRDefault="00B02669" w:rsidP="00172B59">
      <w:pPr>
        <w:pStyle w:val="ListParagraph"/>
        <w:spacing w:after="0" w:line="240" w:lineRule="auto"/>
        <w:ind w:left="567" w:hanging="567"/>
        <w:jc w:val="both"/>
      </w:pPr>
    </w:p>
    <w:p w:rsidR="00B02669" w:rsidRPr="00166531" w:rsidRDefault="00172B59" w:rsidP="00172B59">
      <w:pPr>
        <w:pStyle w:val="ListParagraph"/>
        <w:spacing w:after="0" w:line="240" w:lineRule="auto"/>
        <w:ind w:left="567" w:hanging="567"/>
        <w:jc w:val="both"/>
      </w:pPr>
      <w:r>
        <w:tab/>
      </w:r>
      <w:r w:rsidR="00B02669" w:rsidRPr="00166531">
        <w:t>The Smart Hub has had significant funding from NLC in the region of £250k which will enable the Smart Hub to undertake work in the areas of virtual reality, cyber security and energy.</w:t>
      </w:r>
    </w:p>
    <w:bookmarkEnd w:id="3"/>
    <w:p w:rsidR="00172B59" w:rsidRDefault="00172B59"/>
    <w:p w:rsidR="00227D42" w:rsidRPr="00166531" w:rsidRDefault="00D77BAC" w:rsidP="00172B59">
      <w:pPr>
        <w:pStyle w:val="ListParagraph"/>
        <w:numPr>
          <w:ilvl w:val="1"/>
          <w:numId w:val="13"/>
        </w:numPr>
        <w:spacing w:after="0" w:line="240" w:lineRule="auto"/>
        <w:ind w:left="567" w:hanging="567"/>
        <w:jc w:val="both"/>
      </w:pPr>
      <w:r w:rsidRPr="00166531">
        <w:rPr>
          <w:b/>
        </w:rPr>
        <w:t>Music and Performing Arts</w:t>
      </w:r>
      <w:r w:rsidR="00126112" w:rsidRPr="00166531">
        <w:t xml:space="preserve"> </w:t>
      </w:r>
      <w:r w:rsidR="00227D42" w:rsidRPr="00166531">
        <w:t>department is actively engaged in several exciting initiatives that align with their core values and strategic goals:</w:t>
      </w:r>
    </w:p>
    <w:p w:rsidR="00227D42" w:rsidRPr="00166531" w:rsidRDefault="00227D42" w:rsidP="00172B59">
      <w:pPr>
        <w:pStyle w:val="ListParagraph"/>
        <w:spacing w:after="0" w:line="240" w:lineRule="auto"/>
        <w:ind w:left="567" w:hanging="567"/>
        <w:jc w:val="both"/>
      </w:pPr>
    </w:p>
    <w:p w:rsidR="00227D42" w:rsidRPr="00166531" w:rsidRDefault="00172B59" w:rsidP="00172B59">
      <w:pPr>
        <w:pStyle w:val="ListParagraph"/>
        <w:spacing w:after="0" w:line="240" w:lineRule="auto"/>
        <w:ind w:left="567" w:hanging="567"/>
        <w:jc w:val="both"/>
      </w:pPr>
      <w:r>
        <w:tab/>
      </w:r>
      <w:r w:rsidR="00227D42" w:rsidRPr="00166531">
        <w:t>Advancing Educational Opportunities</w:t>
      </w:r>
      <w:r>
        <w:t xml:space="preserve"> – early </w:t>
      </w:r>
      <w:r w:rsidR="00227D42" w:rsidRPr="00166531">
        <w:t>stages of developing two new degree programmes: an Honour's Degree in Sound Production and Music, and a Master's degree in Performing Arts</w:t>
      </w:r>
      <w:r>
        <w:t xml:space="preserve">.  </w:t>
      </w:r>
      <w:r w:rsidR="00227D42" w:rsidRPr="00166531">
        <w:t xml:space="preserve">These programs will ensure our curriculum remains future-fit and supports the ongoing pedagogy and discipline development of </w:t>
      </w:r>
      <w:r w:rsidR="00994DD8">
        <w:t>the department</w:t>
      </w:r>
      <w:r w:rsidR="00227D42" w:rsidRPr="00166531">
        <w:t xml:space="preserve"> and students.</w:t>
      </w:r>
    </w:p>
    <w:p w:rsidR="00227D42" w:rsidRPr="00166531" w:rsidRDefault="00227D42" w:rsidP="00172B59">
      <w:pPr>
        <w:pStyle w:val="ListParagraph"/>
        <w:spacing w:after="0" w:line="240" w:lineRule="auto"/>
        <w:ind w:left="567" w:hanging="567"/>
        <w:jc w:val="both"/>
      </w:pPr>
    </w:p>
    <w:p w:rsidR="00227D42" w:rsidRDefault="00172B59" w:rsidP="00172B59">
      <w:pPr>
        <w:pStyle w:val="ListParagraph"/>
        <w:spacing w:after="0" w:line="240" w:lineRule="auto"/>
        <w:ind w:left="567" w:hanging="567"/>
        <w:jc w:val="both"/>
      </w:pPr>
      <w:r>
        <w:tab/>
      </w:r>
      <w:r w:rsidR="00227D42" w:rsidRPr="00166531">
        <w:t>Strengthening Community Engagement - in line with the commitment to partnering to grow and expanding educational reach, the department have identified two new community partners within North Lanarkshire: Spotlight Shotts and Shotts Healthy Living. Through these partnerships, we will provide outreach classes, further embedding the College’s educational mission within the local community.</w:t>
      </w:r>
    </w:p>
    <w:p w:rsidR="00172B59" w:rsidRPr="00166531" w:rsidRDefault="00172B59" w:rsidP="00172B59">
      <w:pPr>
        <w:pStyle w:val="ListParagraph"/>
        <w:spacing w:after="0" w:line="240" w:lineRule="auto"/>
        <w:ind w:left="567" w:hanging="567"/>
        <w:jc w:val="both"/>
      </w:pPr>
    </w:p>
    <w:p w:rsidR="00227D42" w:rsidRDefault="00172B59" w:rsidP="00172B59">
      <w:pPr>
        <w:spacing w:after="0" w:line="240" w:lineRule="auto"/>
        <w:ind w:left="567" w:hanging="567"/>
        <w:jc w:val="both"/>
      </w:pPr>
      <w:r>
        <w:tab/>
      </w:r>
      <w:r w:rsidR="00227D42" w:rsidRPr="00166531">
        <w:t xml:space="preserve">Enhancing Industry </w:t>
      </w:r>
      <w:r w:rsidR="007061A3" w:rsidRPr="00166531">
        <w:t xml:space="preserve">Partnerships is being achieved by </w:t>
      </w:r>
      <w:r w:rsidR="00227D42" w:rsidRPr="00166531">
        <w:t>expanding our collaboration with Cumbernauld FM, where a two-day-per-week course</w:t>
      </w:r>
      <w:r w:rsidR="007061A3" w:rsidRPr="00166531">
        <w:t xml:space="preserve"> will be offered</w:t>
      </w:r>
      <w:r w:rsidR="00227D42" w:rsidRPr="00166531">
        <w:t xml:space="preserve">. This partnership deepens impact by providing students with practical, real-world experience in the media industry, reflecting </w:t>
      </w:r>
      <w:r w:rsidR="007061A3" w:rsidRPr="00166531">
        <w:t xml:space="preserve">the </w:t>
      </w:r>
      <w:r w:rsidR="00227D42" w:rsidRPr="00166531">
        <w:t>value of prioritising resources close to the student.</w:t>
      </w:r>
    </w:p>
    <w:p w:rsidR="00172B59" w:rsidRPr="00166531" w:rsidRDefault="00172B59" w:rsidP="00172B59">
      <w:pPr>
        <w:spacing w:after="0" w:line="240" w:lineRule="auto"/>
        <w:ind w:left="567" w:hanging="567"/>
        <w:jc w:val="both"/>
      </w:pPr>
    </w:p>
    <w:p w:rsidR="00227D42" w:rsidRDefault="00172B59" w:rsidP="00172B59">
      <w:pPr>
        <w:spacing w:after="0" w:line="240" w:lineRule="auto"/>
        <w:ind w:left="567" w:hanging="567"/>
        <w:jc w:val="both"/>
      </w:pPr>
      <w:r>
        <w:tab/>
      </w:r>
      <w:r w:rsidR="00227D42" w:rsidRPr="00166531">
        <w:t xml:space="preserve">Promoting Student Engagement </w:t>
      </w:r>
      <w:r w:rsidR="007061A3" w:rsidRPr="00166531">
        <w:t xml:space="preserve">is being fostered by </w:t>
      </w:r>
      <w:r w:rsidR="00227D42" w:rsidRPr="00166531">
        <w:t xml:space="preserve">organising a Fresher's Gig at Ivory Blacks in Glasgow, featuring an Open-Mic format. This event will invite all New College Lanarkshire students to participate, promoting inclusivity and creativity. This initiative aligns with </w:t>
      </w:r>
      <w:r w:rsidR="007061A3" w:rsidRPr="00166531">
        <w:t>the</w:t>
      </w:r>
      <w:r w:rsidR="00227D42" w:rsidRPr="00166531">
        <w:t xml:space="preserve"> values of advocating social justice by providing a platform for all students to express themselves and connect with peers across disciplines.</w:t>
      </w:r>
    </w:p>
    <w:p w:rsidR="00172B59" w:rsidRDefault="00172B59" w:rsidP="00172B59">
      <w:pPr>
        <w:spacing w:after="0" w:line="240" w:lineRule="auto"/>
        <w:ind w:left="567" w:hanging="567"/>
        <w:jc w:val="both"/>
      </w:pPr>
    </w:p>
    <w:p w:rsidR="003244CE" w:rsidRDefault="00D77BAC" w:rsidP="00172B59">
      <w:pPr>
        <w:pStyle w:val="ListParagraph"/>
        <w:numPr>
          <w:ilvl w:val="1"/>
          <w:numId w:val="13"/>
        </w:numPr>
        <w:spacing w:after="0" w:line="240" w:lineRule="auto"/>
        <w:ind w:left="567" w:hanging="567"/>
        <w:jc w:val="both"/>
      </w:pPr>
      <w:r w:rsidRPr="00166531">
        <w:rPr>
          <w:b/>
        </w:rPr>
        <w:t xml:space="preserve">Sports and Physical </w:t>
      </w:r>
      <w:r w:rsidR="009337A8" w:rsidRPr="00166531">
        <w:rPr>
          <w:b/>
        </w:rPr>
        <w:t>Activities</w:t>
      </w:r>
      <w:r w:rsidR="004B14C3" w:rsidRPr="00166531">
        <w:t xml:space="preserve"> department</w:t>
      </w:r>
      <w:r w:rsidR="003244CE" w:rsidRPr="00166531">
        <w:t xml:space="preserve"> recognises that it is essential to adapt to local and national training ensuring a flexible approach.  The team have fostered new approaches to learning and teaching by digitising new and existing units to meet the demands of our partners.  The collaboration with Scottish Rugby Union (SRU) has grown substantially over the year with a widening portfolio.  Recently, young students have completed the online and self-paced Coping Strategies and Building Resilience unit which had been digitised in partnership with the Innovation Team at NCL.  This unit equips students with essential resilience skills and introduces coping strategies like mindfulness and self-care to help them manage challenges both within and beyond the realms of sport.</w:t>
      </w:r>
    </w:p>
    <w:p w:rsidR="00BB59FA" w:rsidRDefault="00BB59FA" w:rsidP="00BB59FA">
      <w:pPr>
        <w:spacing w:after="0" w:line="240" w:lineRule="auto"/>
        <w:jc w:val="both"/>
      </w:pPr>
    </w:p>
    <w:p w:rsidR="00BB59FA" w:rsidRDefault="00BB59FA" w:rsidP="00BB59FA">
      <w:pPr>
        <w:spacing w:after="0" w:line="240" w:lineRule="auto"/>
        <w:jc w:val="both"/>
      </w:pPr>
    </w:p>
    <w:p w:rsidR="00BB59FA" w:rsidRDefault="00BB59FA" w:rsidP="00BB59FA">
      <w:pPr>
        <w:spacing w:after="0" w:line="240" w:lineRule="auto"/>
        <w:jc w:val="both"/>
      </w:pPr>
    </w:p>
    <w:p w:rsidR="00BB59FA" w:rsidRDefault="00BB59FA">
      <w:r>
        <w:br w:type="page"/>
      </w:r>
    </w:p>
    <w:p w:rsidR="00BB59FA" w:rsidRDefault="00BB59FA" w:rsidP="00BB59FA">
      <w:pPr>
        <w:spacing w:after="0" w:line="240" w:lineRule="auto"/>
      </w:pPr>
    </w:p>
    <w:p w:rsidR="00BB59FA" w:rsidRPr="00166531" w:rsidRDefault="00BB59FA" w:rsidP="00BB59FA">
      <w:pPr>
        <w:pStyle w:val="Heading3"/>
        <w:spacing w:before="0" w:line="240" w:lineRule="auto"/>
        <w:ind w:left="567" w:hanging="567"/>
        <w:rPr>
          <w:b/>
        </w:rPr>
      </w:pPr>
      <w:r w:rsidRPr="00166531">
        <w:rPr>
          <w:b/>
        </w:rPr>
        <w:t>6</w:t>
      </w:r>
      <w:r>
        <w:rPr>
          <w:b/>
        </w:rPr>
        <w:t>.</w:t>
      </w:r>
      <w:r w:rsidRPr="00166531">
        <w:rPr>
          <w:b/>
        </w:rPr>
        <w:tab/>
        <w:t>DEPARTMENTAL UPDATES</w:t>
      </w:r>
      <w:r>
        <w:rPr>
          <w:b/>
        </w:rPr>
        <w:t xml:space="preserve"> (</w:t>
      </w:r>
      <w:r w:rsidR="005B6F3A">
        <w:rPr>
          <w:b/>
        </w:rPr>
        <w:t>cont.</w:t>
      </w:r>
      <w:r>
        <w:rPr>
          <w:b/>
        </w:rPr>
        <w:t>)</w:t>
      </w:r>
    </w:p>
    <w:p w:rsidR="004B14C3" w:rsidRPr="00166531" w:rsidRDefault="004B14C3" w:rsidP="00172B59">
      <w:pPr>
        <w:pStyle w:val="ListParagraph"/>
        <w:spacing w:after="0" w:line="240" w:lineRule="auto"/>
        <w:ind w:left="567" w:hanging="567"/>
        <w:jc w:val="both"/>
      </w:pPr>
    </w:p>
    <w:p w:rsidR="00491987" w:rsidRPr="00166531" w:rsidRDefault="00D77BAC" w:rsidP="00172B59">
      <w:pPr>
        <w:pStyle w:val="ListParagraph"/>
        <w:numPr>
          <w:ilvl w:val="1"/>
          <w:numId w:val="13"/>
        </w:numPr>
        <w:spacing w:after="0" w:line="240" w:lineRule="auto"/>
        <w:ind w:left="567" w:hanging="567"/>
        <w:jc w:val="both"/>
      </w:pPr>
      <w:r w:rsidRPr="00166531">
        <w:rPr>
          <w:b/>
        </w:rPr>
        <w:t xml:space="preserve">Staff Development </w:t>
      </w:r>
      <w:r w:rsidR="009337A8" w:rsidRPr="00166531">
        <w:rPr>
          <w:b/>
        </w:rPr>
        <w:t>Academy</w:t>
      </w:r>
      <w:r w:rsidR="00875DE9" w:rsidRPr="00166531">
        <w:t xml:space="preserve"> </w:t>
      </w:r>
      <w:r w:rsidR="00491987" w:rsidRPr="00166531">
        <w:t>has refreshed the Staff Development Strategy</w:t>
      </w:r>
      <w:r w:rsidR="00172B59">
        <w:t xml:space="preserve">, </w:t>
      </w:r>
      <w:r w:rsidR="00491987" w:rsidRPr="00166531">
        <w:t xml:space="preserve">which was informed by NCL’s strategic priorities recruitment, retention, attainment and progression. To achieve this, NCL is committed to an excellent employee and student experience, maximising organisational capacity that is supportive of NCL’s values.  </w:t>
      </w:r>
    </w:p>
    <w:p w:rsidR="00491987" w:rsidRPr="00166531" w:rsidRDefault="00491987" w:rsidP="00172B59">
      <w:pPr>
        <w:pStyle w:val="ListParagraph"/>
        <w:spacing w:after="0" w:line="240" w:lineRule="auto"/>
        <w:ind w:left="567" w:hanging="567"/>
        <w:jc w:val="both"/>
      </w:pPr>
    </w:p>
    <w:p w:rsidR="00491987" w:rsidRDefault="00172B59" w:rsidP="00172B59">
      <w:pPr>
        <w:pStyle w:val="ListParagraph"/>
        <w:spacing w:after="0" w:line="240" w:lineRule="auto"/>
        <w:ind w:left="567" w:hanging="567"/>
        <w:jc w:val="both"/>
      </w:pPr>
      <w:r>
        <w:tab/>
      </w:r>
      <w:r w:rsidR="00491987" w:rsidRPr="00166531">
        <w:t>In preparation for academic session 2024-2</w:t>
      </w:r>
      <w:r>
        <w:t>02</w:t>
      </w:r>
      <w:r w:rsidR="00491987" w:rsidRPr="00166531">
        <w:t>5, the SDA launched updated e-learning All Staff Essential Learning. The course contains five modules and completion of all five is an essential requirement of everybody</w:t>
      </w:r>
      <w:r>
        <w:t xml:space="preserve">.  </w:t>
      </w:r>
      <w:r w:rsidR="00491987" w:rsidRPr="00166531">
        <w:t>Modules include:</w:t>
      </w:r>
    </w:p>
    <w:p w:rsidR="00172B59" w:rsidRPr="00166531" w:rsidRDefault="00172B59" w:rsidP="00172B59">
      <w:pPr>
        <w:pStyle w:val="ListParagraph"/>
        <w:spacing w:after="0" w:line="240" w:lineRule="auto"/>
        <w:ind w:left="567" w:hanging="567"/>
        <w:jc w:val="both"/>
      </w:pPr>
    </w:p>
    <w:p w:rsidR="00491987" w:rsidRPr="00166531" w:rsidRDefault="00491987" w:rsidP="00172B59">
      <w:pPr>
        <w:pStyle w:val="ListParagraph"/>
        <w:numPr>
          <w:ilvl w:val="0"/>
          <w:numId w:val="14"/>
        </w:numPr>
        <w:spacing w:after="0" w:line="240" w:lineRule="auto"/>
        <w:ind w:left="1134" w:hanging="567"/>
        <w:jc w:val="both"/>
      </w:pPr>
      <w:r w:rsidRPr="00166531">
        <w:t>Cyber Security at NCL</w:t>
      </w:r>
    </w:p>
    <w:p w:rsidR="00491987" w:rsidRPr="00166531" w:rsidRDefault="00491987" w:rsidP="00172B59">
      <w:pPr>
        <w:pStyle w:val="ListParagraph"/>
        <w:numPr>
          <w:ilvl w:val="0"/>
          <w:numId w:val="14"/>
        </w:numPr>
        <w:spacing w:after="0" w:line="240" w:lineRule="auto"/>
        <w:ind w:left="1134" w:hanging="567"/>
        <w:jc w:val="both"/>
      </w:pPr>
      <w:r w:rsidRPr="00166531">
        <w:t>Data Protection at NCL</w:t>
      </w:r>
    </w:p>
    <w:p w:rsidR="00491987" w:rsidRPr="00166531" w:rsidRDefault="00491987" w:rsidP="00172B59">
      <w:pPr>
        <w:pStyle w:val="ListParagraph"/>
        <w:numPr>
          <w:ilvl w:val="0"/>
          <w:numId w:val="14"/>
        </w:numPr>
        <w:spacing w:after="0" w:line="240" w:lineRule="auto"/>
        <w:ind w:left="1134" w:hanging="567"/>
        <w:jc w:val="both"/>
      </w:pPr>
      <w:r w:rsidRPr="00166531">
        <w:t>Understanding Race and Racism at NCL</w:t>
      </w:r>
    </w:p>
    <w:p w:rsidR="00491987" w:rsidRPr="00166531" w:rsidRDefault="00491987" w:rsidP="00172B59">
      <w:pPr>
        <w:pStyle w:val="ListParagraph"/>
        <w:numPr>
          <w:ilvl w:val="0"/>
          <w:numId w:val="14"/>
        </w:numPr>
        <w:spacing w:after="0" w:line="240" w:lineRule="auto"/>
        <w:ind w:left="1134" w:hanging="567"/>
        <w:jc w:val="both"/>
      </w:pPr>
      <w:r w:rsidRPr="00166531">
        <w:t>Display Screen Equipment at NCL</w:t>
      </w:r>
    </w:p>
    <w:p w:rsidR="00491987" w:rsidRDefault="00491987" w:rsidP="00172B59">
      <w:pPr>
        <w:pStyle w:val="ListParagraph"/>
        <w:numPr>
          <w:ilvl w:val="0"/>
          <w:numId w:val="14"/>
        </w:numPr>
        <w:spacing w:after="0" w:line="240" w:lineRule="auto"/>
        <w:ind w:left="1134" w:hanging="567"/>
        <w:jc w:val="both"/>
      </w:pPr>
      <w:r w:rsidRPr="00166531">
        <w:t>Keeping Everyone Safe at NCL</w:t>
      </w:r>
    </w:p>
    <w:p w:rsidR="00BB59FA" w:rsidRPr="00166531" w:rsidRDefault="00BB59FA" w:rsidP="00BB59FA">
      <w:pPr>
        <w:pStyle w:val="ListParagraph"/>
        <w:spacing w:after="0" w:line="240" w:lineRule="auto"/>
        <w:ind w:left="1134"/>
        <w:jc w:val="both"/>
      </w:pPr>
    </w:p>
    <w:p w:rsidR="00491987" w:rsidRPr="00166531" w:rsidRDefault="005C1EC8" w:rsidP="005C1EC8">
      <w:pPr>
        <w:spacing w:after="0" w:line="240" w:lineRule="auto"/>
        <w:ind w:left="567" w:hanging="567"/>
        <w:jc w:val="both"/>
      </w:pPr>
      <w:r>
        <w:t>6.14</w:t>
      </w:r>
      <w:r>
        <w:tab/>
      </w:r>
      <w:r w:rsidR="00C951B5" w:rsidRPr="00166531">
        <w:t xml:space="preserve">Uptake of the learning has been high, three days after the launch of All Staff Essential Learning, 38% of staff have successfully completed it. </w:t>
      </w:r>
    </w:p>
    <w:p w:rsidR="00C951B5" w:rsidRPr="00166531" w:rsidRDefault="00C951B5" w:rsidP="005C1EC8">
      <w:pPr>
        <w:pStyle w:val="ListParagraph"/>
        <w:spacing w:after="0" w:line="240" w:lineRule="auto"/>
        <w:ind w:left="567" w:hanging="567"/>
        <w:jc w:val="both"/>
      </w:pPr>
    </w:p>
    <w:p w:rsidR="00C951B5" w:rsidRPr="00166531" w:rsidRDefault="005C1EC8" w:rsidP="005C1EC8">
      <w:pPr>
        <w:pStyle w:val="ListParagraph"/>
        <w:spacing w:after="0" w:line="240" w:lineRule="auto"/>
        <w:ind w:left="567" w:hanging="567"/>
        <w:jc w:val="both"/>
      </w:pPr>
      <w:r>
        <w:tab/>
      </w:r>
      <w:r w:rsidR="00C951B5" w:rsidRPr="00166531">
        <w:t xml:space="preserve">SDA </w:t>
      </w:r>
      <w:r w:rsidR="00933242" w:rsidRPr="00166531">
        <w:t xml:space="preserve">is </w:t>
      </w:r>
      <w:r w:rsidR="00C951B5" w:rsidRPr="00166531">
        <w:t>working in partnership with EDI advis</w:t>
      </w:r>
      <w:r w:rsidR="00933242" w:rsidRPr="00166531">
        <w:t>e</w:t>
      </w:r>
      <w:r w:rsidR="00C951B5" w:rsidRPr="00166531">
        <w:t>r to produce and distribute an EDI calendar to raise awareness, t</w:t>
      </w:r>
      <w:r w:rsidR="00933242" w:rsidRPr="00166531">
        <w:t xml:space="preserve">o </w:t>
      </w:r>
      <w:r w:rsidR="00C951B5" w:rsidRPr="00166531">
        <w:t xml:space="preserve">encourage conversations and on a monthly basis highlight a specific event to all staff. </w:t>
      </w:r>
    </w:p>
    <w:p w:rsidR="00933242" w:rsidRPr="00166531" w:rsidRDefault="00933242" w:rsidP="005C1EC8">
      <w:pPr>
        <w:pStyle w:val="ListParagraph"/>
        <w:spacing w:after="0" w:line="240" w:lineRule="auto"/>
        <w:ind w:left="567" w:hanging="567"/>
        <w:jc w:val="both"/>
      </w:pPr>
    </w:p>
    <w:p w:rsidR="00DA1D50" w:rsidRDefault="005C1EC8" w:rsidP="005C1EC8">
      <w:pPr>
        <w:pStyle w:val="ListParagraph"/>
        <w:spacing w:after="0" w:line="240" w:lineRule="auto"/>
        <w:ind w:left="567" w:hanging="567"/>
        <w:jc w:val="both"/>
      </w:pPr>
      <w:r>
        <w:tab/>
      </w:r>
      <w:r w:rsidR="00DA1D50" w:rsidRPr="00166531">
        <w:t>The SDA will be responding to the College Development Network (CDN) survey -Workforce Survey Analysis Report by carrying out further analysis involving academic and professional services staff at NCL.</w:t>
      </w:r>
    </w:p>
    <w:p w:rsidR="005C1EC8" w:rsidRDefault="005C1EC8" w:rsidP="005C1EC8">
      <w:pPr>
        <w:pStyle w:val="ListParagraph"/>
        <w:spacing w:after="0" w:line="240" w:lineRule="auto"/>
        <w:ind w:left="567" w:hanging="567"/>
        <w:jc w:val="both"/>
      </w:pPr>
    </w:p>
    <w:p w:rsidR="00856438" w:rsidRPr="00166531" w:rsidRDefault="00D77BAC" w:rsidP="005C1EC8">
      <w:pPr>
        <w:pStyle w:val="ListParagraph"/>
        <w:numPr>
          <w:ilvl w:val="1"/>
          <w:numId w:val="13"/>
        </w:numPr>
        <w:spacing w:after="0" w:line="240" w:lineRule="auto"/>
        <w:ind w:left="567" w:hanging="567"/>
        <w:jc w:val="both"/>
      </w:pPr>
      <w:r w:rsidRPr="00166531">
        <w:rPr>
          <w:b/>
        </w:rPr>
        <w:t>Support</w:t>
      </w:r>
      <w:r w:rsidR="00856438" w:rsidRPr="00166531">
        <w:rPr>
          <w:b/>
        </w:rPr>
        <w:t xml:space="preserve"> for</w:t>
      </w:r>
      <w:r w:rsidRPr="00166531">
        <w:rPr>
          <w:b/>
        </w:rPr>
        <w:t xml:space="preserve"> Learning</w:t>
      </w:r>
      <w:r w:rsidR="00856438" w:rsidRPr="00166531">
        <w:t xml:space="preserve"> </w:t>
      </w:r>
      <w:r w:rsidR="00875DE9" w:rsidRPr="00166531">
        <w:t xml:space="preserve">students </w:t>
      </w:r>
      <w:r w:rsidR="00856438" w:rsidRPr="00166531">
        <w:t>on Skills for Life and Work Groups towards the end of academic year 2023</w:t>
      </w:r>
      <w:r w:rsidR="005C1EC8">
        <w:t xml:space="preserve">-2024 </w:t>
      </w:r>
      <w:r w:rsidR="00856438" w:rsidRPr="00166531">
        <w:t xml:space="preserve">worked with Siemens apprentices to design a rollercoaster.  The apprentices joined the class online, every week, for </w:t>
      </w:r>
      <w:r w:rsidR="005C1EC8">
        <w:t xml:space="preserve">four </w:t>
      </w:r>
      <w:r w:rsidR="00856438" w:rsidRPr="00166531">
        <w:t xml:space="preserve">weeks to assist with the design.  This was of benefit to both groups of students as it enabled the Siemens apprentices to enhance their skills set, by utilising skills and knowledge within the College community, as well as enhancing </w:t>
      </w:r>
      <w:r w:rsidR="005D7548" w:rsidRPr="00166531">
        <w:t>college student’s</w:t>
      </w:r>
      <w:r w:rsidR="00856438" w:rsidRPr="00166531">
        <w:t xml:space="preserve"> communication, teambuilding, working with others and numeracy skills, </w:t>
      </w:r>
      <w:r w:rsidR="005D7548" w:rsidRPr="00166531">
        <w:t xml:space="preserve">whilst </w:t>
      </w:r>
      <w:r w:rsidR="00856438" w:rsidRPr="00166531">
        <w:t>having a lot of fun creating the rollercoaster.</w:t>
      </w:r>
    </w:p>
    <w:p w:rsidR="00856438" w:rsidRPr="00166531" w:rsidRDefault="00856438" w:rsidP="005C1EC8">
      <w:pPr>
        <w:pStyle w:val="ListParagraph"/>
        <w:spacing w:after="0" w:line="240" w:lineRule="auto"/>
        <w:ind w:left="567" w:hanging="567"/>
        <w:jc w:val="both"/>
      </w:pPr>
    </w:p>
    <w:p w:rsidR="00856438" w:rsidRDefault="005C1EC8" w:rsidP="005C1EC8">
      <w:pPr>
        <w:pStyle w:val="ListParagraph"/>
        <w:spacing w:after="0" w:line="240" w:lineRule="auto"/>
        <w:ind w:left="567" w:hanging="567"/>
        <w:jc w:val="both"/>
      </w:pPr>
      <w:r>
        <w:tab/>
      </w:r>
      <w:r w:rsidR="00856438" w:rsidRPr="00166531">
        <w:t xml:space="preserve">Students were presented with </w:t>
      </w:r>
      <w:r w:rsidR="001045EF" w:rsidRPr="00166531">
        <w:t xml:space="preserve">a certificate from </w:t>
      </w:r>
      <w:r w:rsidR="00856438" w:rsidRPr="00166531">
        <w:t>Siemen</w:t>
      </w:r>
      <w:r w:rsidR="001045EF" w:rsidRPr="00166531">
        <w:t>s</w:t>
      </w:r>
      <w:r w:rsidR="00856438" w:rsidRPr="00166531">
        <w:t xml:space="preserve"> at a celebration of achievement</w:t>
      </w:r>
      <w:r w:rsidR="005D7548" w:rsidRPr="00166531">
        <w:t xml:space="preserve"> event</w:t>
      </w:r>
      <w:r w:rsidR="00856438" w:rsidRPr="00166531">
        <w:t>.</w:t>
      </w:r>
    </w:p>
    <w:p w:rsidR="005C1EC8" w:rsidRDefault="005C1EC8" w:rsidP="005C1EC8">
      <w:pPr>
        <w:pStyle w:val="ListParagraph"/>
        <w:spacing w:after="0" w:line="240" w:lineRule="auto"/>
        <w:ind w:left="567" w:hanging="567"/>
        <w:jc w:val="both"/>
      </w:pPr>
    </w:p>
    <w:p w:rsidR="003E6F60" w:rsidRPr="00166531" w:rsidRDefault="00D77BAC" w:rsidP="005C1EC8">
      <w:pPr>
        <w:pStyle w:val="ListParagraph"/>
        <w:numPr>
          <w:ilvl w:val="1"/>
          <w:numId w:val="13"/>
        </w:numPr>
        <w:spacing w:after="0" w:line="240" w:lineRule="auto"/>
        <w:ind w:left="567" w:hanging="567"/>
        <w:jc w:val="both"/>
      </w:pPr>
      <w:r w:rsidRPr="00166531">
        <w:rPr>
          <w:b/>
        </w:rPr>
        <w:t>Visual and Creative</w:t>
      </w:r>
      <w:r w:rsidR="00ED61E3" w:rsidRPr="00166531">
        <w:t xml:space="preserve"> </w:t>
      </w:r>
      <w:r w:rsidR="00ED61E3" w:rsidRPr="00166531">
        <w:rPr>
          <w:b/>
        </w:rPr>
        <w:t>Arts</w:t>
      </w:r>
      <w:r w:rsidR="00875DE9" w:rsidRPr="00166531">
        <w:t xml:space="preserve"> department </w:t>
      </w:r>
      <w:r w:rsidR="003E6F60" w:rsidRPr="00166531">
        <w:t>has planned for further consolidation of good practice</w:t>
      </w:r>
      <w:r w:rsidR="005C1EC8">
        <w:t>,</w:t>
      </w:r>
      <w:r w:rsidR="003E6F60" w:rsidRPr="00166531">
        <w:t xml:space="preserve"> which has emerged over the last two years. Art &amp; Design staff kick things off with "Waste Stories", a</w:t>
      </w:r>
      <w:r w:rsidR="005C1EC8">
        <w:t xml:space="preserve"> </w:t>
      </w:r>
      <w:r w:rsidR="003E6F60" w:rsidRPr="00166531">
        <w:t>collaboration with University of Glasgow on how artists respond to Sustainability. Over 50 artworks will be on display and all VCA students within the department will be encouraged to attend the exhibition at the University. </w:t>
      </w:r>
    </w:p>
    <w:p w:rsidR="003E6F60" w:rsidRPr="00166531" w:rsidRDefault="003E6F60" w:rsidP="005C1EC8">
      <w:pPr>
        <w:pStyle w:val="ListParagraph"/>
        <w:spacing w:after="0" w:line="240" w:lineRule="auto"/>
        <w:ind w:left="567" w:hanging="567"/>
        <w:jc w:val="both"/>
      </w:pPr>
    </w:p>
    <w:p w:rsidR="003E6F60" w:rsidRDefault="005C1EC8" w:rsidP="005C1EC8">
      <w:pPr>
        <w:pStyle w:val="ListParagraph"/>
        <w:spacing w:after="0" w:line="240" w:lineRule="auto"/>
        <w:ind w:left="567" w:hanging="567"/>
        <w:jc w:val="both"/>
      </w:pPr>
      <w:r>
        <w:tab/>
      </w:r>
      <w:r w:rsidR="003E6F60" w:rsidRPr="00166531">
        <w:t>Make-up Artistry students will begin the session with a planned trip to BPerfect where they will be taken through a series of workshops and introduced to professional practice by industry leaders in this field. </w:t>
      </w:r>
    </w:p>
    <w:p w:rsidR="00BB59FA" w:rsidRDefault="00BB59FA" w:rsidP="005C1EC8">
      <w:pPr>
        <w:pStyle w:val="ListParagraph"/>
        <w:spacing w:after="0" w:line="240" w:lineRule="auto"/>
        <w:ind w:left="567" w:hanging="567"/>
        <w:jc w:val="both"/>
      </w:pPr>
    </w:p>
    <w:p w:rsidR="00BB59FA" w:rsidRDefault="00BB59FA" w:rsidP="005C1EC8">
      <w:pPr>
        <w:pStyle w:val="ListParagraph"/>
        <w:spacing w:after="0" w:line="240" w:lineRule="auto"/>
        <w:ind w:left="567" w:hanging="567"/>
        <w:jc w:val="both"/>
      </w:pPr>
    </w:p>
    <w:p w:rsidR="00BB59FA" w:rsidRPr="00166531" w:rsidRDefault="00BB59FA" w:rsidP="00BB59FA">
      <w:pPr>
        <w:pStyle w:val="Heading3"/>
        <w:spacing w:before="0" w:line="240" w:lineRule="auto"/>
        <w:ind w:left="567" w:hanging="567"/>
        <w:rPr>
          <w:b/>
        </w:rPr>
      </w:pPr>
      <w:r w:rsidRPr="00166531">
        <w:rPr>
          <w:b/>
        </w:rPr>
        <w:t>6</w:t>
      </w:r>
      <w:r>
        <w:rPr>
          <w:b/>
        </w:rPr>
        <w:t>.</w:t>
      </w:r>
      <w:r w:rsidRPr="00166531">
        <w:rPr>
          <w:b/>
        </w:rPr>
        <w:tab/>
        <w:t>DEPARTMENTAL UPDATES</w:t>
      </w:r>
      <w:r>
        <w:rPr>
          <w:b/>
        </w:rPr>
        <w:t xml:space="preserve"> (</w:t>
      </w:r>
      <w:r w:rsidR="005B6F3A">
        <w:rPr>
          <w:b/>
        </w:rPr>
        <w:t>cont.</w:t>
      </w:r>
      <w:r>
        <w:rPr>
          <w:b/>
        </w:rPr>
        <w:t>)</w:t>
      </w:r>
    </w:p>
    <w:p w:rsidR="00BB59FA" w:rsidRDefault="00BB59FA" w:rsidP="005C1EC8">
      <w:pPr>
        <w:pStyle w:val="ListParagraph"/>
        <w:spacing w:after="0" w:line="240" w:lineRule="auto"/>
        <w:ind w:left="567" w:hanging="567"/>
        <w:jc w:val="both"/>
      </w:pPr>
    </w:p>
    <w:p w:rsidR="003E6F60" w:rsidRPr="00166531" w:rsidRDefault="00BB59FA" w:rsidP="005C1EC8">
      <w:pPr>
        <w:pStyle w:val="ListParagraph"/>
        <w:spacing w:after="0" w:line="240" w:lineRule="auto"/>
        <w:ind w:left="567" w:hanging="567"/>
        <w:jc w:val="both"/>
      </w:pPr>
      <w:r>
        <w:t>6.16</w:t>
      </w:r>
      <w:r>
        <w:tab/>
        <w:t>F</w:t>
      </w:r>
      <w:r w:rsidR="003E6F60" w:rsidRPr="00166531">
        <w:t>ilm &amp; TV section will be working closely again with UWS to ensure that the planned roll out of 4</w:t>
      </w:r>
      <w:r w:rsidR="003E6F60" w:rsidRPr="00166531">
        <w:rPr>
          <w:vertAlign w:val="superscript"/>
        </w:rPr>
        <w:t>th</w:t>
      </w:r>
      <w:r w:rsidR="003E6F60" w:rsidRPr="00166531">
        <w:t> year Hons is in place for 2025</w:t>
      </w:r>
      <w:r w:rsidR="005C1EC8">
        <w:t xml:space="preserve">-2026 </w:t>
      </w:r>
      <w:r w:rsidR="003E6F60" w:rsidRPr="00166531">
        <w:t>and this will continue to see a collaborative approach to learning between both institutions. HN NextGen has moved out of pilot phase and this will also see further collaboration between organisations such as BBC, Albert and local businesses looking for content generation through student placements.</w:t>
      </w:r>
    </w:p>
    <w:p w:rsidR="003E6F60" w:rsidRPr="00166531" w:rsidRDefault="003E6F60" w:rsidP="005C1EC8">
      <w:pPr>
        <w:pStyle w:val="ListParagraph"/>
        <w:spacing w:after="0" w:line="240" w:lineRule="auto"/>
        <w:ind w:left="567" w:hanging="567"/>
        <w:jc w:val="both"/>
      </w:pPr>
    </w:p>
    <w:p w:rsidR="003E6F60" w:rsidRPr="00166531" w:rsidRDefault="005C1EC8" w:rsidP="005C1EC8">
      <w:pPr>
        <w:pStyle w:val="ListParagraph"/>
        <w:spacing w:after="0" w:line="240" w:lineRule="auto"/>
        <w:ind w:left="567" w:hanging="567"/>
        <w:jc w:val="both"/>
      </w:pPr>
      <w:r>
        <w:tab/>
      </w:r>
      <w:r w:rsidR="003E6F60" w:rsidRPr="00166531">
        <w:t>As a result of QA EV activity which took place in May and June, Animation have made some major adjustments to the whole curriculum which will see Autodesk Maya software being introduced to the classroom for the first time. This will allow the students to have a fuller and more industry focussed learning experience. Similarly, Photography have made changes to the curriculum at FE level where they will be working closer with the Film &amp; TV staff to ensure the learners have a wider skillset which will inform more meaningful articulation routes to HE.</w:t>
      </w:r>
    </w:p>
    <w:p w:rsidR="003E6F60" w:rsidRPr="00166531" w:rsidRDefault="003E6F60" w:rsidP="003E6F60">
      <w:pPr>
        <w:pStyle w:val="ListParagraph"/>
        <w:ind w:left="709"/>
        <w:jc w:val="both"/>
      </w:pPr>
      <w:r w:rsidRPr="00166531">
        <w:br/>
      </w:r>
      <w:r w:rsidRPr="00166531">
        <w:br/>
      </w:r>
    </w:p>
    <w:p w:rsidR="00103A08" w:rsidRPr="00166531" w:rsidRDefault="00103A08" w:rsidP="00426EE5">
      <w:r w:rsidRPr="00166531">
        <w:br w:type="page"/>
      </w:r>
    </w:p>
    <w:p w:rsidR="00103A08" w:rsidRPr="00166531" w:rsidRDefault="00103A08" w:rsidP="00805AFC">
      <w:pPr>
        <w:sectPr w:rsidR="00103A08" w:rsidRPr="00166531" w:rsidSect="00380AD7">
          <w:pgSz w:w="11906" w:h="16838"/>
          <w:pgMar w:top="1440" w:right="1440" w:bottom="1440" w:left="1440" w:header="567" w:footer="567" w:gutter="0"/>
          <w:cols w:space="708"/>
          <w:titlePg/>
          <w:docGrid w:linePitch="360"/>
        </w:sectPr>
      </w:pPr>
    </w:p>
    <w:p w:rsidR="00805AFC" w:rsidRPr="005C1EC8" w:rsidRDefault="00103A08" w:rsidP="00103A08">
      <w:pPr>
        <w:pStyle w:val="Heading3"/>
        <w:rPr>
          <w:b/>
        </w:rPr>
      </w:pPr>
      <w:r w:rsidRPr="005C1EC8">
        <w:rPr>
          <w:b/>
        </w:rPr>
        <w:t>Appendix 1 – NCL Credit Summary – 31</w:t>
      </w:r>
      <w:r w:rsidR="005C1EC8" w:rsidRPr="005C1EC8">
        <w:rPr>
          <w:b/>
          <w:vertAlign w:val="superscript"/>
        </w:rPr>
        <w:t>st</w:t>
      </w:r>
      <w:r w:rsidR="005C1EC8">
        <w:rPr>
          <w:b/>
        </w:rPr>
        <w:t xml:space="preserve"> </w:t>
      </w:r>
      <w:r w:rsidRPr="005C1EC8">
        <w:rPr>
          <w:b/>
        </w:rPr>
        <w:t>J</w:t>
      </w:r>
      <w:r w:rsidR="00CE5A1D" w:rsidRPr="005C1EC8">
        <w:rPr>
          <w:b/>
        </w:rPr>
        <w:t>uly 2024</w:t>
      </w:r>
    </w:p>
    <w:p w:rsidR="00805AFC" w:rsidRPr="00166531" w:rsidRDefault="00805AFC" w:rsidP="00805AFC"/>
    <w:p w:rsidR="00A46CEB" w:rsidRPr="00166531" w:rsidRDefault="00A46CEB" w:rsidP="00805AFC">
      <w:r w:rsidRPr="00166531">
        <w:rPr>
          <w:noProof/>
        </w:rPr>
        <w:drawing>
          <wp:inline distT="0" distB="0" distL="0" distR="0" wp14:anchorId="79ED8A60" wp14:editId="28E26BE7">
            <wp:extent cx="8484036" cy="47881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484036" cy="4788146"/>
                    </a:xfrm>
                    <a:prstGeom prst="rect">
                      <a:avLst/>
                    </a:prstGeom>
                  </pic:spPr>
                </pic:pic>
              </a:graphicData>
            </a:graphic>
          </wp:inline>
        </w:drawing>
      </w:r>
    </w:p>
    <w:p w:rsidR="00103A08" w:rsidRDefault="00103A08" w:rsidP="00C86025">
      <w:pPr>
        <w:pStyle w:val="Heading3"/>
        <w:rPr>
          <w:b/>
        </w:rPr>
      </w:pPr>
      <w:r w:rsidRPr="005C1EC8">
        <w:rPr>
          <w:b/>
        </w:rPr>
        <w:t>Appendix 2 – Departmental Credit and Retention Summary – 31</w:t>
      </w:r>
      <w:r w:rsidR="005C1EC8" w:rsidRPr="005C1EC8">
        <w:rPr>
          <w:b/>
          <w:vertAlign w:val="superscript"/>
        </w:rPr>
        <w:t>st</w:t>
      </w:r>
      <w:r w:rsidR="005C1EC8">
        <w:rPr>
          <w:b/>
        </w:rPr>
        <w:t xml:space="preserve"> </w:t>
      </w:r>
      <w:r w:rsidRPr="005C1EC8">
        <w:rPr>
          <w:b/>
        </w:rPr>
        <w:t>J</w:t>
      </w:r>
      <w:r w:rsidR="00CE5A1D" w:rsidRPr="005C1EC8">
        <w:rPr>
          <w:b/>
        </w:rPr>
        <w:t xml:space="preserve">uly </w:t>
      </w:r>
      <w:r w:rsidRPr="005C1EC8">
        <w:rPr>
          <w:b/>
        </w:rPr>
        <w:t>2024</w:t>
      </w:r>
      <w:r w:rsidR="005C1EC8">
        <w:rPr>
          <w:b/>
        </w:rPr>
        <w:t xml:space="preserve"> </w:t>
      </w:r>
    </w:p>
    <w:p w:rsidR="00C86025" w:rsidRPr="00C86025" w:rsidRDefault="00C86025" w:rsidP="00C86025"/>
    <w:tbl>
      <w:tblPr>
        <w:tblStyle w:val="TableGrid"/>
        <w:tblW w:w="0" w:type="auto"/>
        <w:tblLayout w:type="fixed"/>
        <w:tblLook w:val="04A0" w:firstRow="1" w:lastRow="0" w:firstColumn="1" w:lastColumn="0" w:noHBand="0" w:noVBand="1"/>
      </w:tblPr>
      <w:tblGrid>
        <w:gridCol w:w="4815"/>
        <w:gridCol w:w="992"/>
        <w:gridCol w:w="1291"/>
        <w:gridCol w:w="977"/>
        <w:gridCol w:w="1306"/>
        <w:gridCol w:w="962"/>
        <w:gridCol w:w="1276"/>
        <w:gridCol w:w="992"/>
        <w:gridCol w:w="1337"/>
      </w:tblGrid>
      <w:tr w:rsidR="00BB6ADD" w:rsidRPr="00166531" w:rsidTr="00B773AD">
        <w:tc>
          <w:tcPr>
            <w:tcW w:w="4815" w:type="dxa"/>
            <w:shd w:val="clear" w:color="auto" w:fill="FFF2CC" w:themeFill="accent4" w:themeFillTint="33"/>
          </w:tcPr>
          <w:p w:rsidR="00BB6ADD" w:rsidRPr="00166531" w:rsidRDefault="00BB6ADD" w:rsidP="00B773AD">
            <w:pPr>
              <w:jc w:val="center"/>
            </w:pPr>
            <w:r w:rsidRPr="00166531">
              <w:t>Department</w:t>
            </w:r>
          </w:p>
        </w:tc>
        <w:tc>
          <w:tcPr>
            <w:tcW w:w="992" w:type="dxa"/>
            <w:shd w:val="clear" w:color="auto" w:fill="FFF2CC" w:themeFill="accent4" w:themeFillTint="33"/>
          </w:tcPr>
          <w:p w:rsidR="00BB6ADD" w:rsidRPr="00166531" w:rsidRDefault="00BB6ADD" w:rsidP="00B773AD">
            <w:pPr>
              <w:jc w:val="center"/>
            </w:pPr>
            <w:r w:rsidRPr="00166531">
              <w:t>FEFT Enrolled</w:t>
            </w:r>
          </w:p>
        </w:tc>
        <w:tc>
          <w:tcPr>
            <w:tcW w:w="1291" w:type="dxa"/>
            <w:shd w:val="clear" w:color="auto" w:fill="FFF2CC" w:themeFill="accent4" w:themeFillTint="33"/>
          </w:tcPr>
          <w:p w:rsidR="00BB6ADD" w:rsidRPr="00166531" w:rsidRDefault="00BB6ADD" w:rsidP="00B773AD">
            <w:pPr>
              <w:jc w:val="center"/>
            </w:pPr>
            <w:r w:rsidRPr="00166531">
              <w:t>FEFT Withdrawn</w:t>
            </w:r>
          </w:p>
        </w:tc>
        <w:tc>
          <w:tcPr>
            <w:tcW w:w="977" w:type="dxa"/>
            <w:shd w:val="clear" w:color="auto" w:fill="FFF2CC" w:themeFill="accent4" w:themeFillTint="33"/>
          </w:tcPr>
          <w:p w:rsidR="00BB6ADD" w:rsidRPr="00166531" w:rsidRDefault="00BB6ADD" w:rsidP="00B773AD">
            <w:pPr>
              <w:jc w:val="center"/>
            </w:pPr>
            <w:r w:rsidRPr="00166531">
              <w:t>FEPT Enrolled</w:t>
            </w:r>
          </w:p>
        </w:tc>
        <w:tc>
          <w:tcPr>
            <w:tcW w:w="1306" w:type="dxa"/>
            <w:shd w:val="clear" w:color="auto" w:fill="FFF2CC" w:themeFill="accent4" w:themeFillTint="33"/>
          </w:tcPr>
          <w:p w:rsidR="00BB6ADD" w:rsidRPr="00166531" w:rsidRDefault="00BB6ADD" w:rsidP="00B773AD">
            <w:pPr>
              <w:jc w:val="center"/>
            </w:pPr>
            <w:r w:rsidRPr="00166531">
              <w:t>FEFT Withdrawn</w:t>
            </w:r>
          </w:p>
        </w:tc>
        <w:tc>
          <w:tcPr>
            <w:tcW w:w="962" w:type="dxa"/>
            <w:shd w:val="clear" w:color="auto" w:fill="FFF2CC" w:themeFill="accent4" w:themeFillTint="33"/>
          </w:tcPr>
          <w:p w:rsidR="00BB6ADD" w:rsidRPr="00166531" w:rsidRDefault="00BB6ADD" w:rsidP="00B773AD">
            <w:pPr>
              <w:jc w:val="center"/>
            </w:pPr>
            <w:r w:rsidRPr="00166531">
              <w:t>HEFT Enrolled</w:t>
            </w:r>
          </w:p>
        </w:tc>
        <w:tc>
          <w:tcPr>
            <w:tcW w:w="1276" w:type="dxa"/>
            <w:shd w:val="clear" w:color="auto" w:fill="FFF2CC" w:themeFill="accent4" w:themeFillTint="33"/>
          </w:tcPr>
          <w:p w:rsidR="00BB6ADD" w:rsidRPr="00166531" w:rsidRDefault="00BB6ADD" w:rsidP="00B773AD">
            <w:pPr>
              <w:jc w:val="center"/>
            </w:pPr>
            <w:r w:rsidRPr="00166531">
              <w:t>HEFT Withdrawn</w:t>
            </w:r>
          </w:p>
        </w:tc>
        <w:tc>
          <w:tcPr>
            <w:tcW w:w="992" w:type="dxa"/>
            <w:shd w:val="clear" w:color="auto" w:fill="FFF2CC" w:themeFill="accent4" w:themeFillTint="33"/>
          </w:tcPr>
          <w:p w:rsidR="00BB6ADD" w:rsidRPr="00166531" w:rsidRDefault="00BB6ADD" w:rsidP="00B773AD">
            <w:pPr>
              <w:jc w:val="center"/>
            </w:pPr>
            <w:r w:rsidRPr="00166531">
              <w:t>HEPT Enrolled</w:t>
            </w:r>
          </w:p>
        </w:tc>
        <w:tc>
          <w:tcPr>
            <w:tcW w:w="1337" w:type="dxa"/>
            <w:shd w:val="clear" w:color="auto" w:fill="FFF2CC" w:themeFill="accent4" w:themeFillTint="33"/>
          </w:tcPr>
          <w:p w:rsidR="00BB6ADD" w:rsidRPr="00166531" w:rsidRDefault="00BB6ADD" w:rsidP="00B773AD">
            <w:pPr>
              <w:jc w:val="center"/>
            </w:pPr>
            <w:r w:rsidRPr="00166531">
              <w:t>HEPT Withdrawn</w:t>
            </w:r>
          </w:p>
        </w:tc>
      </w:tr>
      <w:tr w:rsidR="00BB6ADD" w:rsidRPr="00166531" w:rsidTr="004149F6">
        <w:tc>
          <w:tcPr>
            <w:tcW w:w="4815" w:type="dxa"/>
            <w:shd w:val="clear" w:color="auto" w:fill="auto"/>
          </w:tcPr>
          <w:p w:rsidR="00BB6ADD" w:rsidRPr="00166531" w:rsidRDefault="00BB6ADD" w:rsidP="00B773AD">
            <w:r w:rsidRPr="00166531">
              <w:t>Access and Progression</w:t>
            </w:r>
          </w:p>
        </w:tc>
        <w:tc>
          <w:tcPr>
            <w:tcW w:w="992" w:type="dxa"/>
            <w:shd w:val="clear" w:color="auto" w:fill="auto"/>
          </w:tcPr>
          <w:p w:rsidR="00BB6ADD" w:rsidRPr="00166531" w:rsidRDefault="00BB6ADD" w:rsidP="00B773AD">
            <w:pPr>
              <w:jc w:val="center"/>
            </w:pPr>
            <w:r w:rsidRPr="00166531">
              <w:t>31</w:t>
            </w:r>
            <w:r w:rsidR="00AC4129" w:rsidRPr="00166531">
              <w:t>7</w:t>
            </w:r>
          </w:p>
        </w:tc>
        <w:tc>
          <w:tcPr>
            <w:tcW w:w="1291" w:type="dxa"/>
            <w:shd w:val="clear" w:color="auto" w:fill="auto"/>
          </w:tcPr>
          <w:p w:rsidR="00BB6ADD" w:rsidRPr="00166531" w:rsidRDefault="00074AD9" w:rsidP="00B773AD">
            <w:pPr>
              <w:jc w:val="center"/>
            </w:pPr>
            <w:r w:rsidRPr="00166531">
              <w:t xml:space="preserve">74 </w:t>
            </w:r>
            <w:r w:rsidR="00BB6ADD" w:rsidRPr="00166531">
              <w:t>(</w:t>
            </w:r>
            <w:r w:rsidRPr="00166531">
              <w:t>26.5</w:t>
            </w:r>
            <w:r w:rsidR="00BB6ADD" w:rsidRPr="00166531">
              <w:t>%)</w:t>
            </w:r>
          </w:p>
        </w:tc>
        <w:tc>
          <w:tcPr>
            <w:tcW w:w="977" w:type="dxa"/>
            <w:shd w:val="clear" w:color="auto" w:fill="auto"/>
          </w:tcPr>
          <w:p w:rsidR="00BB6ADD" w:rsidRPr="00166531" w:rsidRDefault="00074AD9" w:rsidP="00B773AD">
            <w:pPr>
              <w:jc w:val="center"/>
            </w:pPr>
            <w:r w:rsidRPr="00166531">
              <w:t>624</w:t>
            </w:r>
          </w:p>
        </w:tc>
        <w:tc>
          <w:tcPr>
            <w:tcW w:w="1306" w:type="dxa"/>
            <w:shd w:val="clear" w:color="auto" w:fill="auto"/>
          </w:tcPr>
          <w:p w:rsidR="00BB6ADD" w:rsidRPr="00166531" w:rsidRDefault="00074AD9" w:rsidP="00B773AD">
            <w:pPr>
              <w:jc w:val="center"/>
            </w:pPr>
            <w:r w:rsidRPr="00166531">
              <w:t xml:space="preserve">102 </w:t>
            </w:r>
            <w:r w:rsidR="00BB6ADD" w:rsidRPr="00166531">
              <w:t>(</w:t>
            </w:r>
            <w:r w:rsidRPr="00166531">
              <w:t>16.3</w:t>
            </w:r>
            <w:r w:rsidR="00BB6ADD" w:rsidRPr="00166531">
              <w:t>%)</w:t>
            </w:r>
          </w:p>
        </w:tc>
        <w:tc>
          <w:tcPr>
            <w:tcW w:w="962" w:type="dxa"/>
            <w:shd w:val="clear" w:color="auto" w:fill="D0CECE" w:themeFill="background2" w:themeFillShade="E6"/>
          </w:tcPr>
          <w:p w:rsidR="00BB6ADD" w:rsidRPr="00166531" w:rsidRDefault="00BB6ADD" w:rsidP="00B773AD">
            <w:pPr>
              <w:jc w:val="center"/>
            </w:pPr>
          </w:p>
        </w:tc>
        <w:tc>
          <w:tcPr>
            <w:tcW w:w="1276" w:type="dxa"/>
            <w:shd w:val="clear" w:color="auto" w:fill="D0CECE" w:themeFill="background2" w:themeFillShade="E6"/>
          </w:tcPr>
          <w:p w:rsidR="00BB6ADD" w:rsidRPr="00166531" w:rsidRDefault="00BB6ADD" w:rsidP="00B773AD">
            <w:pPr>
              <w:jc w:val="center"/>
            </w:pPr>
          </w:p>
        </w:tc>
        <w:tc>
          <w:tcPr>
            <w:tcW w:w="992" w:type="dxa"/>
            <w:shd w:val="clear" w:color="auto" w:fill="D0CECE" w:themeFill="background2" w:themeFillShade="E6"/>
          </w:tcPr>
          <w:p w:rsidR="00BB6ADD" w:rsidRPr="00166531" w:rsidRDefault="00BB6ADD" w:rsidP="00B773AD">
            <w:pPr>
              <w:jc w:val="center"/>
            </w:pPr>
          </w:p>
        </w:tc>
        <w:tc>
          <w:tcPr>
            <w:tcW w:w="1337" w:type="dxa"/>
            <w:shd w:val="clear" w:color="auto" w:fill="D0CECE" w:themeFill="background2" w:themeFillShade="E6"/>
          </w:tcPr>
          <w:p w:rsidR="00BB6ADD" w:rsidRPr="00166531" w:rsidRDefault="00BB6ADD" w:rsidP="00B773AD">
            <w:pPr>
              <w:jc w:val="center"/>
            </w:pPr>
          </w:p>
        </w:tc>
      </w:tr>
      <w:tr w:rsidR="00BB6ADD" w:rsidRPr="00166531" w:rsidTr="004149F6">
        <w:tc>
          <w:tcPr>
            <w:tcW w:w="4815" w:type="dxa"/>
            <w:shd w:val="clear" w:color="auto" w:fill="auto"/>
          </w:tcPr>
          <w:p w:rsidR="00BB6ADD" w:rsidRPr="00166531" w:rsidRDefault="00BB6ADD" w:rsidP="00B773AD">
            <w:r w:rsidRPr="00166531">
              <w:t>Automotive Studies</w:t>
            </w:r>
          </w:p>
        </w:tc>
        <w:tc>
          <w:tcPr>
            <w:tcW w:w="992" w:type="dxa"/>
            <w:shd w:val="clear" w:color="auto" w:fill="auto"/>
          </w:tcPr>
          <w:p w:rsidR="00BB6ADD" w:rsidRPr="00166531" w:rsidRDefault="00BB6ADD" w:rsidP="00B773AD">
            <w:pPr>
              <w:jc w:val="center"/>
            </w:pPr>
            <w:r w:rsidRPr="00166531">
              <w:t>30</w:t>
            </w:r>
            <w:r w:rsidR="00AC4129" w:rsidRPr="00166531">
              <w:t>7</w:t>
            </w:r>
          </w:p>
        </w:tc>
        <w:tc>
          <w:tcPr>
            <w:tcW w:w="1291" w:type="dxa"/>
            <w:shd w:val="clear" w:color="auto" w:fill="auto"/>
          </w:tcPr>
          <w:p w:rsidR="00BB6ADD" w:rsidRPr="00166531" w:rsidRDefault="00074AD9" w:rsidP="00B773AD">
            <w:pPr>
              <w:jc w:val="center"/>
            </w:pPr>
            <w:r w:rsidRPr="00166531">
              <w:t xml:space="preserve">87 </w:t>
            </w:r>
            <w:r w:rsidR="00BB6ADD" w:rsidRPr="00166531">
              <w:t>(</w:t>
            </w:r>
            <w:r w:rsidRPr="00166531">
              <w:t>28.3</w:t>
            </w:r>
            <w:r w:rsidR="00BB6ADD" w:rsidRPr="00166531">
              <w:t>%)</w:t>
            </w:r>
          </w:p>
        </w:tc>
        <w:tc>
          <w:tcPr>
            <w:tcW w:w="977" w:type="dxa"/>
            <w:shd w:val="clear" w:color="auto" w:fill="auto"/>
          </w:tcPr>
          <w:p w:rsidR="00BB6ADD" w:rsidRPr="00166531" w:rsidRDefault="00074AD9" w:rsidP="00B773AD">
            <w:pPr>
              <w:jc w:val="center"/>
            </w:pPr>
            <w:r w:rsidRPr="00166531">
              <w:t>428</w:t>
            </w:r>
          </w:p>
        </w:tc>
        <w:tc>
          <w:tcPr>
            <w:tcW w:w="1306" w:type="dxa"/>
            <w:shd w:val="clear" w:color="auto" w:fill="auto"/>
          </w:tcPr>
          <w:p w:rsidR="00BB6ADD" w:rsidRPr="00166531" w:rsidRDefault="00074AD9" w:rsidP="00B773AD">
            <w:pPr>
              <w:jc w:val="center"/>
            </w:pPr>
            <w:r w:rsidRPr="00166531">
              <w:t>49</w:t>
            </w:r>
            <w:r w:rsidR="00BB6ADD" w:rsidRPr="00166531">
              <w:t xml:space="preserve"> (</w:t>
            </w:r>
            <w:r w:rsidRPr="00166531">
              <w:t>11.4</w:t>
            </w:r>
            <w:r w:rsidR="00BB6ADD" w:rsidRPr="00166531">
              <w:t>%)</w:t>
            </w:r>
          </w:p>
        </w:tc>
        <w:tc>
          <w:tcPr>
            <w:tcW w:w="962" w:type="dxa"/>
            <w:shd w:val="clear" w:color="auto" w:fill="D0CECE" w:themeFill="background2" w:themeFillShade="E6"/>
          </w:tcPr>
          <w:p w:rsidR="00BB6ADD" w:rsidRPr="00166531" w:rsidRDefault="00BB6ADD" w:rsidP="00B773AD">
            <w:pPr>
              <w:jc w:val="center"/>
            </w:pPr>
          </w:p>
        </w:tc>
        <w:tc>
          <w:tcPr>
            <w:tcW w:w="1276" w:type="dxa"/>
            <w:shd w:val="clear" w:color="auto" w:fill="D0CECE" w:themeFill="background2" w:themeFillShade="E6"/>
          </w:tcPr>
          <w:p w:rsidR="00BB6ADD" w:rsidRPr="00166531" w:rsidRDefault="00BB6ADD" w:rsidP="00B773AD">
            <w:pPr>
              <w:jc w:val="center"/>
            </w:pPr>
          </w:p>
        </w:tc>
        <w:tc>
          <w:tcPr>
            <w:tcW w:w="992" w:type="dxa"/>
            <w:shd w:val="clear" w:color="auto" w:fill="D0CECE" w:themeFill="background2" w:themeFillShade="E6"/>
          </w:tcPr>
          <w:p w:rsidR="00BB6ADD" w:rsidRPr="00166531" w:rsidRDefault="00BB6ADD" w:rsidP="00B773AD">
            <w:pPr>
              <w:jc w:val="center"/>
            </w:pPr>
          </w:p>
        </w:tc>
        <w:tc>
          <w:tcPr>
            <w:tcW w:w="1337" w:type="dxa"/>
            <w:shd w:val="clear" w:color="auto" w:fill="D0CECE" w:themeFill="background2" w:themeFillShade="E6"/>
          </w:tcPr>
          <w:p w:rsidR="00BB6ADD" w:rsidRPr="00166531" w:rsidRDefault="00BB6ADD" w:rsidP="00B773AD">
            <w:pPr>
              <w:jc w:val="center"/>
            </w:pPr>
          </w:p>
        </w:tc>
      </w:tr>
      <w:tr w:rsidR="00BB6ADD" w:rsidRPr="00166531" w:rsidTr="004149F6">
        <w:tc>
          <w:tcPr>
            <w:tcW w:w="4815" w:type="dxa"/>
            <w:shd w:val="clear" w:color="auto" w:fill="auto"/>
          </w:tcPr>
          <w:p w:rsidR="00BB6ADD" w:rsidRPr="00166531" w:rsidRDefault="00BB6ADD" w:rsidP="00B773AD">
            <w:r w:rsidRPr="00166531">
              <w:t>Beauty, Aesthetics and Hair Design</w:t>
            </w:r>
          </w:p>
        </w:tc>
        <w:tc>
          <w:tcPr>
            <w:tcW w:w="992" w:type="dxa"/>
            <w:shd w:val="clear" w:color="auto" w:fill="auto"/>
          </w:tcPr>
          <w:p w:rsidR="00BB6ADD" w:rsidRPr="00166531" w:rsidRDefault="00BB6ADD" w:rsidP="00B773AD">
            <w:pPr>
              <w:jc w:val="center"/>
            </w:pPr>
            <w:r w:rsidRPr="00166531">
              <w:t>41</w:t>
            </w:r>
            <w:r w:rsidR="0036239C" w:rsidRPr="00166531">
              <w:t>6</w:t>
            </w:r>
          </w:p>
        </w:tc>
        <w:tc>
          <w:tcPr>
            <w:tcW w:w="1291" w:type="dxa"/>
            <w:shd w:val="clear" w:color="auto" w:fill="auto"/>
          </w:tcPr>
          <w:p w:rsidR="00BB6ADD" w:rsidRPr="00166531" w:rsidRDefault="0036239C" w:rsidP="0036239C">
            <w:r w:rsidRPr="00166531">
              <w:t>139</w:t>
            </w:r>
            <w:r w:rsidR="00BB6ADD" w:rsidRPr="00166531">
              <w:t xml:space="preserve"> (</w:t>
            </w:r>
            <w:r w:rsidRPr="00166531">
              <w:t>33.4</w:t>
            </w:r>
            <w:r w:rsidR="00BB6ADD" w:rsidRPr="00166531">
              <w:t>%)</w:t>
            </w:r>
          </w:p>
        </w:tc>
        <w:tc>
          <w:tcPr>
            <w:tcW w:w="977" w:type="dxa"/>
            <w:shd w:val="clear" w:color="auto" w:fill="auto"/>
          </w:tcPr>
          <w:p w:rsidR="00BB6ADD" w:rsidRPr="00166531" w:rsidRDefault="00AC4129" w:rsidP="00B773AD">
            <w:pPr>
              <w:jc w:val="center"/>
            </w:pPr>
            <w:r w:rsidRPr="00166531">
              <w:t>3</w:t>
            </w:r>
            <w:r w:rsidR="0036239C" w:rsidRPr="00166531">
              <w:t>30</w:t>
            </w:r>
          </w:p>
        </w:tc>
        <w:tc>
          <w:tcPr>
            <w:tcW w:w="1306" w:type="dxa"/>
            <w:shd w:val="clear" w:color="auto" w:fill="auto"/>
          </w:tcPr>
          <w:p w:rsidR="00BB6ADD" w:rsidRPr="00166531" w:rsidRDefault="0036239C" w:rsidP="00B773AD">
            <w:pPr>
              <w:jc w:val="center"/>
            </w:pPr>
            <w:r w:rsidRPr="00166531">
              <w:t>107</w:t>
            </w:r>
            <w:r w:rsidR="00BB6ADD" w:rsidRPr="00166531">
              <w:t xml:space="preserve"> (</w:t>
            </w:r>
            <w:r w:rsidRPr="00166531">
              <w:t>32.4</w:t>
            </w:r>
            <w:r w:rsidR="00BB6ADD" w:rsidRPr="00166531">
              <w:t>%)</w:t>
            </w:r>
          </w:p>
        </w:tc>
        <w:tc>
          <w:tcPr>
            <w:tcW w:w="962" w:type="dxa"/>
            <w:shd w:val="clear" w:color="auto" w:fill="auto"/>
          </w:tcPr>
          <w:p w:rsidR="00BB6ADD" w:rsidRPr="00166531" w:rsidRDefault="00BB6ADD" w:rsidP="00B773AD">
            <w:pPr>
              <w:jc w:val="center"/>
            </w:pPr>
            <w:r w:rsidRPr="00166531">
              <w:t>6</w:t>
            </w:r>
            <w:r w:rsidR="00AC4129" w:rsidRPr="00166531">
              <w:t>1</w:t>
            </w:r>
          </w:p>
        </w:tc>
        <w:tc>
          <w:tcPr>
            <w:tcW w:w="1276" w:type="dxa"/>
            <w:shd w:val="clear" w:color="auto" w:fill="auto"/>
          </w:tcPr>
          <w:p w:rsidR="00BB6ADD" w:rsidRPr="00166531" w:rsidRDefault="00BB6ADD" w:rsidP="00B773AD">
            <w:pPr>
              <w:jc w:val="center"/>
            </w:pPr>
            <w:r w:rsidRPr="00166531">
              <w:t>1</w:t>
            </w:r>
            <w:r w:rsidR="0036239C" w:rsidRPr="00166531">
              <w:t xml:space="preserve">8 </w:t>
            </w:r>
            <w:r w:rsidRPr="00166531">
              <w:t>(2</w:t>
            </w:r>
            <w:r w:rsidR="0036239C" w:rsidRPr="00166531">
              <w:t>9.5</w:t>
            </w:r>
            <w:r w:rsidRPr="00166531">
              <w:t>%)</w:t>
            </w:r>
          </w:p>
        </w:tc>
        <w:tc>
          <w:tcPr>
            <w:tcW w:w="992" w:type="dxa"/>
            <w:shd w:val="clear" w:color="auto" w:fill="D0CECE" w:themeFill="background2" w:themeFillShade="E6"/>
          </w:tcPr>
          <w:p w:rsidR="00BB6ADD" w:rsidRPr="00166531" w:rsidRDefault="00BB6ADD" w:rsidP="00B773AD">
            <w:pPr>
              <w:jc w:val="center"/>
            </w:pPr>
          </w:p>
        </w:tc>
        <w:tc>
          <w:tcPr>
            <w:tcW w:w="1337" w:type="dxa"/>
            <w:shd w:val="clear" w:color="auto" w:fill="D0CECE" w:themeFill="background2" w:themeFillShade="E6"/>
          </w:tcPr>
          <w:p w:rsidR="00BB6ADD" w:rsidRPr="00166531" w:rsidRDefault="00BB6ADD" w:rsidP="00B773AD">
            <w:pPr>
              <w:jc w:val="center"/>
            </w:pPr>
          </w:p>
        </w:tc>
      </w:tr>
      <w:tr w:rsidR="00BB6ADD" w:rsidRPr="00166531" w:rsidTr="004149F6">
        <w:tc>
          <w:tcPr>
            <w:tcW w:w="4815" w:type="dxa"/>
            <w:shd w:val="clear" w:color="auto" w:fill="auto"/>
          </w:tcPr>
          <w:p w:rsidR="00BB6ADD" w:rsidRPr="00166531" w:rsidRDefault="00BB6ADD" w:rsidP="00B773AD">
            <w:r w:rsidRPr="00166531">
              <w:t xml:space="preserve">Computing and Digital Technologies </w:t>
            </w:r>
          </w:p>
        </w:tc>
        <w:tc>
          <w:tcPr>
            <w:tcW w:w="992" w:type="dxa"/>
            <w:shd w:val="clear" w:color="auto" w:fill="auto"/>
          </w:tcPr>
          <w:p w:rsidR="00BB6ADD" w:rsidRPr="00166531" w:rsidRDefault="00BB6ADD" w:rsidP="00B773AD">
            <w:pPr>
              <w:jc w:val="center"/>
            </w:pPr>
            <w:r w:rsidRPr="00166531">
              <w:t>19</w:t>
            </w:r>
            <w:r w:rsidR="00FC7E07" w:rsidRPr="00166531">
              <w:t>3</w:t>
            </w:r>
          </w:p>
        </w:tc>
        <w:tc>
          <w:tcPr>
            <w:tcW w:w="1291" w:type="dxa"/>
            <w:shd w:val="clear" w:color="auto" w:fill="auto"/>
          </w:tcPr>
          <w:p w:rsidR="00BB6ADD" w:rsidRPr="00166531" w:rsidRDefault="0036239C" w:rsidP="00B773AD">
            <w:pPr>
              <w:jc w:val="center"/>
            </w:pPr>
            <w:r w:rsidRPr="00166531">
              <w:t>58</w:t>
            </w:r>
            <w:r w:rsidR="00BB6ADD" w:rsidRPr="00166531">
              <w:t xml:space="preserve"> (</w:t>
            </w:r>
            <w:r w:rsidRPr="00166531">
              <w:t>30</w:t>
            </w:r>
            <w:r w:rsidR="00BB6ADD" w:rsidRPr="00166531">
              <w:t>%)</w:t>
            </w:r>
          </w:p>
        </w:tc>
        <w:tc>
          <w:tcPr>
            <w:tcW w:w="977" w:type="dxa"/>
            <w:shd w:val="clear" w:color="auto" w:fill="auto"/>
          </w:tcPr>
          <w:p w:rsidR="00BB6ADD" w:rsidRPr="00166531" w:rsidRDefault="0036239C" w:rsidP="00B773AD">
            <w:pPr>
              <w:jc w:val="center"/>
            </w:pPr>
            <w:r w:rsidRPr="00166531">
              <w:t>373</w:t>
            </w:r>
          </w:p>
        </w:tc>
        <w:tc>
          <w:tcPr>
            <w:tcW w:w="1306" w:type="dxa"/>
            <w:shd w:val="clear" w:color="auto" w:fill="auto"/>
          </w:tcPr>
          <w:p w:rsidR="00BB6ADD" w:rsidRPr="00166531" w:rsidRDefault="0036239C" w:rsidP="00B773AD">
            <w:pPr>
              <w:jc w:val="center"/>
            </w:pPr>
            <w:r w:rsidRPr="00166531">
              <w:t>32</w:t>
            </w:r>
            <w:r w:rsidR="00BB6ADD" w:rsidRPr="00166531">
              <w:t xml:space="preserve"> (</w:t>
            </w:r>
            <w:r w:rsidRPr="00166531">
              <w:t>8.6</w:t>
            </w:r>
            <w:r w:rsidR="00BB6ADD" w:rsidRPr="00166531">
              <w:t>%)</w:t>
            </w:r>
          </w:p>
        </w:tc>
        <w:tc>
          <w:tcPr>
            <w:tcW w:w="962" w:type="dxa"/>
            <w:shd w:val="clear" w:color="auto" w:fill="auto"/>
          </w:tcPr>
          <w:p w:rsidR="00BB6ADD" w:rsidRPr="00166531" w:rsidRDefault="00BB6ADD" w:rsidP="00B773AD">
            <w:pPr>
              <w:jc w:val="center"/>
            </w:pPr>
            <w:r w:rsidRPr="00166531">
              <w:t>181</w:t>
            </w:r>
          </w:p>
        </w:tc>
        <w:tc>
          <w:tcPr>
            <w:tcW w:w="1276" w:type="dxa"/>
            <w:shd w:val="clear" w:color="auto" w:fill="auto"/>
          </w:tcPr>
          <w:p w:rsidR="00BB6ADD" w:rsidRPr="00166531" w:rsidRDefault="0036239C" w:rsidP="00B773AD">
            <w:pPr>
              <w:jc w:val="center"/>
            </w:pPr>
            <w:r w:rsidRPr="00166531">
              <w:t>36</w:t>
            </w:r>
            <w:r w:rsidR="00BB6ADD" w:rsidRPr="00166531">
              <w:t xml:space="preserve"> (1</w:t>
            </w:r>
            <w:r w:rsidRPr="00166531">
              <w:t>9.9</w:t>
            </w:r>
            <w:r w:rsidR="00BB6ADD" w:rsidRPr="00166531">
              <w:t>%)</w:t>
            </w:r>
          </w:p>
        </w:tc>
        <w:tc>
          <w:tcPr>
            <w:tcW w:w="992" w:type="dxa"/>
            <w:shd w:val="clear" w:color="auto" w:fill="D0CECE" w:themeFill="background2" w:themeFillShade="E6"/>
          </w:tcPr>
          <w:p w:rsidR="00BB6ADD" w:rsidRPr="00166531" w:rsidRDefault="00BB6ADD" w:rsidP="00B773AD">
            <w:pPr>
              <w:jc w:val="center"/>
            </w:pPr>
          </w:p>
        </w:tc>
        <w:tc>
          <w:tcPr>
            <w:tcW w:w="1337" w:type="dxa"/>
            <w:shd w:val="clear" w:color="auto" w:fill="D0CECE" w:themeFill="background2" w:themeFillShade="E6"/>
          </w:tcPr>
          <w:p w:rsidR="00BB6ADD" w:rsidRPr="00166531" w:rsidRDefault="00BB6ADD" w:rsidP="00B773AD">
            <w:pPr>
              <w:jc w:val="center"/>
            </w:pPr>
          </w:p>
        </w:tc>
      </w:tr>
      <w:tr w:rsidR="00BB6ADD" w:rsidRPr="00166531" w:rsidTr="004149F6">
        <w:tc>
          <w:tcPr>
            <w:tcW w:w="4815" w:type="dxa"/>
            <w:shd w:val="clear" w:color="auto" w:fill="auto"/>
          </w:tcPr>
          <w:p w:rsidR="00BB6ADD" w:rsidRPr="00166531" w:rsidRDefault="00BB6ADD" w:rsidP="00B773AD">
            <w:r w:rsidRPr="00166531">
              <w:t xml:space="preserve">Construction Trades Technologies </w:t>
            </w:r>
          </w:p>
        </w:tc>
        <w:tc>
          <w:tcPr>
            <w:tcW w:w="992" w:type="dxa"/>
            <w:shd w:val="clear" w:color="auto" w:fill="auto"/>
          </w:tcPr>
          <w:p w:rsidR="00BB6ADD" w:rsidRPr="00166531" w:rsidRDefault="00BB6ADD" w:rsidP="00B773AD">
            <w:pPr>
              <w:jc w:val="center"/>
            </w:pPr>
            <w:r w:rsidRPr="00166531">
              <w:t>48</w:t>
            </w:r>
            <w:r w:rsidR="00555152" w:rsidRPr="00166531">
              <w:t>8</w:t>
            </w:r>
          </w:p>
        </w:tc>
        <w:tc>
          <w:tcPr>
            <w:tcW w:w="1291" w:type="dxa"/>
            <w:shd w:val="clear" w:color="auto" w:fill="auto"/>
          </w:tcPr>
          <w:p w:rsidR="00BB6ADD" w:rsidRPr="00166531" w:rsidRDefault="00555152" w:rsidP="00B773AD">
            <w:pPr>
              <w:jc w:val="center"/>
            </w:pPr>
            <w:r w:rsidRPr="00166531">
              <w:t>152</w:t>
            </w:r>
            <w:r w:rsidR="00BB6ADD" w:rsidRPr="00166531">
              <w:t xml:space="preserve"> (</w:t>
            </w:r>
            <w:r w:rsidRPr="00166531">
              <w:t>31.1</w:t>
            </w:r>
            <w:r w:rsidR="00BB6ADD" w:rsidRPr="00166531">
              <w:t>%)</w:t>
            </w:r>
          </w:p>
        </w:tc>
        <w:tc>
          <w:tcPr>
            <w:tcW w:w="977" w:type="dxa"/>
            <w:shd w:val="clear" w:color="auto" w:fill="auto"/>
          </w:tcPr>
          <w:p w:rsidR="00BB6ADD" w:rsidRPr="00166531" w:rsidRDefault="00BB6ADD" w:rsidP="00B773AD">
            <w:pPr>
              <w:jc w:val="center"/>
            </w:pPr>
            <w:r w:rsidRPr="00166531">
              <w:t>1</w:t>
            </w:r>
            <w:r w:rsidR="00555152" w:rsidRPr="00166531">
              <w:t>297</w:t>
            </w:r>
          </w:p>
        </w:tc>
        <w:tc>
          <w:tcPr>
            <w:tcW w:w="1306" w:type="dxa"/>
            <w:shd w:val="clear" w:color="auto" w:fill="auto"/>
          </w:tcPr>
          <w:p w:rsidR="00BB6ADD" w:rsidRPr="00166531" w:rsidRDefault="00555152" w:rsidP="00B773AD">
            <w:pPr>
              <w:jc w:val="center"/>
            </w:pPr>
            <w:r w:rsidRPr="00166531">
              <w:t>8</w:t>
            </w:r>
            <w:r w:rsidR="00BB6ADD" w:rsidRPr="00166531">
              <w:t>2 (</w:t>
            </w:r>
            <w:r w:rsidRPr="00166531">
              <w:t>6.3</w:t>
            </w:r>
            <w:r w:rsidR="00BB6ADD" w:rsidRPr="00166531">
              <w:t>%)</w:t>
            </w:r>
          </w:p>
        </w:tc>
        <w:tc>
          <w:tcPr>
            <w:tcW w:w="962" w:type="dxa"/>
            <w:shd w:val="clear" w:color="auto" w:fill="D0CECE" w:themeFill="background2" w:themeFillShade="E6"/>
          </w:tcPr>
          <w:p w:rsidR="00BB6ADD" w:rsidRPr="00166531" w:rsidRDefault="00BB6ADD" w:rsidP="00B773AD">
            <w:pPr>
              <w:jc w:val="center"/>
            </w:pPr>
          </w:p>
        </w:tc>
        <w:tc>
          <w:tcPr>
            <w:tcW w:w="1276" w:type="dxa"/>
            <w:shd w:val="clear" w:color="auto" w:fill="D0CECE" w:themeFill="background2" w:themeFillShade="E6"/>
          </w:tcPr>
          <w:p w:rsidR="00BB6ADD" w:rsidRPr="00166531" w:rsidRDefault="00BB6ADD" w:rsidP="00B773AD">
            <w:pPr>
              <w:jc w:val="center"/>
            </w:pPr>
          </w:p>
        </w:tc>
        <w:tc>
          <w:tcPr>
            <w:tcW w:w="992" w:type="dxa"/>
            <w:shd w:val="clear" w:color="auto" w:fill="auto"/>
          </w:tcPr>
          <w:p w:rsidR="00BB6ADD" w:rsidRPr="00166531" w:rsidRDefault="00BB6ADD" w:rsidP="00B773AD">
            <w:pPr>
              <w:jc w:val="center"/>
            </w:pPr>
            <w:r w:rsidRPr="00166531">
              <w:t>13</w:t>
            </w:r>
          </w:p>
        </w:tc>
        <w:tc>
          <w:tcPr>
            <w:tcW w:w="1337" w:type="dxa"/>
            <w:shd w:val="clear" w:color="auto" w:fill="auto"/>
          </w:tcPr>
          <w:p w:rsidR="00BB6ADD" w:rsidRPr="00166531" w:rsidRDefault="00BB6ADD" w:rsidP="00B773AD">
            <w:pPr>
              <w:jc w:val="center"/>
            </w:pPr>
            <w:r w:rsidRPr="00166531">
              <w:t>1 (7.6%)</w:t>
            </w:r>
          </w:p>
        </w:tc>
      </w:tr>
      <w:tr w:rsidR="00BB6ADD" w:rsidRPr="00166531" w:rsidTr="004149F6">
        <w:tc>
          <w:tcPr>
            <w:tcW w:w="4815" w:type="dxa"/>
            <w:shd w:val="clear" w:color="auto" w:fill="auto"/>
          </w:tcPr>
          <w:p w:rsidR="00BB6ADD" w:rsidRPr="00166531" w:rsidRDefault="00BB6ADD" w:rsidP="00B773AD">
            <w:r w:rsidRPr="00166531">
              <w:t>Culinary Arts</w:t>
            </w:r>
          </w:p>
        </w:tc>
        <w:tc>
          <w:tcPr>
            <w:tcW w:w="992" w:type="dxa"/>
            <w:shd w:val="clear" w:color="auto" w:fill="auto"/>
          </w:tcPr>
          <w:p w:rsidR="00BB6ADD" w:rsidRPr="00166531" w:rsidRDefault="00BB6ADD" w:rsidP="00B773AD">
            <w:pPr>
              <w:jc w:val="center"/>
            </w:pPr>
            <w:r w:rsidRPr="00166531">
              <w:t>1</w:t>
            </w:r>
            <w:r w:rsidR="003A59B8" w:rsidRPr="00166531">
              <w:t>30</w:t>
            </w:r>
          </w:p>
        </w:tc>
        <w:tc>
          <w:tcPr>
            <w:tcW w:w="1291" w:type="dxa"/>
            <w:shd w:val="clear" w:color="auto" w:fill="auto"/>
          </w:tcPr>
          <w:p w:rsidR="00BB6ADD" w:rsidRPr="00166531" w:rsidRDefault="00664D63" w:rsidP="00B773AD">
            <w:pPr>
              <w:jc w:val="center"/>
            </w:pPr>
            <w:r w:rsidRPr="00166531">
              <w:t xml:space="preserve">40 </w:t>
            </w:r>
            <w:r w:rsidR="00BB6ADD" w:rsidRPr="00166531">
              <w:t>(</w:t>
            </w:r>
            <w:r w:rsidRPr="00166531">
              <w:t>30.8</w:t>
            </w:r>
            <w:r w:rsidR="00BB6ADD" w:rsidRPr="00166531">
              <w:t>%)</w:t>
            </w:r>
          </w:p>
        </w:tc>
        <w:tc>
          <w:tcPr>
            <w:tcW w:w="977" w:type="dxa"/>
            <w:shd w:val="clear" w:color="auto" w:fill="auto"/>
          </w:tcPr>
          <w:p w:rsidR="00BB6ADD" w:rsidRPr="00166531" w:rsidRDefault="00664D63" w:rsidP="00B773AD">
            <w:pPr>
              <w:jc w:val="center"/>
            </w:pPr>
            <w:r w:rsidRPr="00166531">
              <w:t>279</w:t>
            </w:r>
          </w:p>
        </w:tc>
        <w:tc>
          <w:tcPr>
            <w:tcW w:w="1306" w:type="dxa"/>
            <w:shd w:val="clear" w:color="auto" w:fill="auto"/>
          </w:tcPr>
          <w:p w:rsidR="00BB6ADD" w:rsidRPr="00166531" w:rsidRDefault="00BB6ADD" w:rsidP="00B773AD">
            <w:pPr>
              <w:jc w:val="center"/>
            </w:pPr>
            <w:r w:rsidRPr="00166531">
              <w:t>11 (</w:t>
            </w:r>
            <w:r w:rsidR="00664D63" w:rsidRPr="00166531">
              <w:t>5.8</w:t>
            </w:r>
            <w:r w:rsidRPr="00166531">
              <w:t>%)</w:t>
            </w:r>
          </w:p>
        </w:tc>
        <w:tc>
          <w:tcPr>
            <w:tcW w:w="962" w:type="dxa"/>
            <w:shd w:val="clear" w:color="auto" w:fill="auto"/>
          </w:tcPr>
          <w:p w:rsidR="00BB6ADD" w:rsidRPr="00166531" w:rsidRDefault="00BB6ADD" w:rsidP="00B773AD">
            <w:pPr>
              <w:jc w:val="center"/>
            </w:pPr>
            <w:r w:rsidRPr="00166531">
              <w:t>12</w:t>
            </w:r>
          </w:p>
        </w:tc>
        <w:tc>
          <w:tcPr>
            <w:tcW w:w="1276" w:type="dxa"/>
            <w:shd w:val="clear" w:color="auto" w:fill="auto"/>
          </w:tcPr>
          <w:p w:rsidR="00BB6ADD" w:rsidRPr="00166531" w:rsidRDefault="00664D63" w:rsidP="00B773AD">
            <w:pPr>
              <w:jc w:val="center"/>
            </w:pPr>
            <w:r w:rsidRPr="00166531">
              <w:t xml:space="preserve">4 </w:t>
            </w:r>
            <w:r w:rsidR="00BB6ADD" w:rsidRPr="00166531">
              <w:t>(</w:t>
            </w:r>
            <w:r w:rsidRPr="00166531">
              <w:t>33.3</w:t>
            </w:r>
            <w:r w:rsidR="00BB6ADD" w:rsidRPr="00166531">
              <w:t>%)</w:t>
            </w:r>
          </w:p>
        </w:tc>
        <w:tc>
          <w:tcPr>
            <w:tcW w:w="992" w:type="dxa"/>
            <w:shd w:val="clear" w:color="auto" w:fill="auto"/>
          </w:tcPr>
          <w:p w:rsidR="00BB6ADD" w:rsidRPr="00166531" w:rsidRDefault="00BB6ADD" w:rsidP="00B773AD">
            <w:pPr>
              <w:jc w:val="center"/>
            </w:pPr>
            <w:r w:rsidRPr="00166531">
              <w:t>15</w:t>
            </w:r>
          </w:p>
        </w:tc>
        <w:tc>
          <w:tcPr>
            <w:tcW w:w="1337" w:type="dxa"/>
            <w:shd w:val="clear" w:color="auto" w:fill="auto"/>
          </w:tcPr>
          <w:p w:rsidR="00BB6ADD" w:rsidRPr="00166531" w:rsidRDefault="00BB6ADD" w:rsidP="00B773AD">
            <w:pPr>
              <w:jc w:val="center"/>
            </w:pPr>
            <w:r w:rsidRPr="00166531">
              <w:t>-</w:t>
            </w:r>
          </w:p>
        </w:tc>
      </w:tr>
      <w:tr w:rsidR="00BB6ADD" w:rsidRPr="00166531" w:rsidTr="004149F6">
        <w:tc>
          <w:tcPr>
            <w:tcW w:w="4815" w:type="dxa"/>
            <w:shd w:val="clear" w:color="auto" w:fill="auto"/>
          </w:tcPr>
          <w:p w:rsidR="00BB6ADD" w:rsidRPr="00166531" w:rsidRDefault="00BB6ADD" w:rsidP="00B773AD">
            <w:r w:rsidRPr="00166531">
              <w:t xml:space="preserve">Dental, Health and Social Care </w:t>
            </w:r>
          </w:p>
        </w:tc>
        <w:tc>
          <w:tcPr>
            <w:tcW w:w="992" w:type="dxa"/>
            <w:shd w:val="clear" w:color="auto" w:fill="auto"/>
          </w:tcPr>
          <w:p w:rsidR="00BB6ADD" w:rsidRPr="00166531" w:rsidRDefault="00BB6ADD" w:rsidP="00B773AD">
            <w:pPr>
              <w:jc w:val="center"/>
            </w:pPr>
            <w:r w:rsidRPr="00166531">
              <w:t>45</w:t>
            </w:r>
            <w:r w:rsidR="003A59B8" w:rsidRPr="00166531">
              <w:t>9</w:t>
            </w:r>
          </w:p>
        </w:tc>
        <w:tc>
          <w:tcPr>
            <w:tcW w:w="1291" w:type="dxa"/>
            <w:shd w:val="clear" w:color="auto" w:fill="auto"/>
          </w:tcPr>
          <w:p w:rsidR="00BB6ADD" w:rsidRPr="00166531" w:rsidRDefault="00664D63" w:rsidP="00B773AD">
            <w:pPr>
              <w:jc w:val="center"/>
            </w:pPr>
            <w:r w:rsidRPr="00166531">
              <w:t>157</w:t>
            </w:r>
            <w:r w:rsidR="00BB6ADD" w:rsidRPr="00166531">
              <w:t xml:space="preserve"> (</w:t>
            </w:r>
            <w:r w:rsidRPr="00166531">
              <w:t>34.2</w:t>
            </w:r>
            <w:r w:rsidR="00BB6ADD" w:rsidRPr="00166531">
              <w:t>%)</w:t>
            </w:r>
          </w:p>
        </w:tc>
        <w:tc>
          <w:tcPr>
            <w:tcW w:w="977" w:type="dxa"/>
            <w:shd w:val="clear" w:color="auto" w:fill="auto"/>
          </w:tcPr>
          <w:p w:rsidR="00BB6ADD" w:rsidRPr="00166531" w:rsidRDefault="00664D63" w:rsidP="00B773AD">
            <w:pPr>
              <w:jc w:val="center"/>
            </w:pPr>
            <w:r w:rsidRPr="00166531">
              <w:t>605</w:t>
            </w:r>
          </w:p>
        </w:tc>
        <w:tc>
          <w:tcPr>
            <w:tcW w:w="1306" w:type="dxa"/>
            <w:shd w:val="clear" w:color="auto" w:fill="auto"/>
          </w:tcPr>
          <w:p w:rsidR="00BB6ADD" w:rsidRPr="00166531" w:rsidRDefault="00664D63" w:rsidP="00B773AD">
            <w:pPr>
              <w:jc w:val="center"/>
            </w:pPr>
            <w:r w:rsidRPr="00166531">
              <w:t>6</w:t>
            </w:r>
            <w:r w:rsidR="00BB6ADD" w:rsidRPr="00166531">
              <w:t>1 (</w:t>
            </w:r>
            <w:r w:rsidRPr="00166531">
              <w:t>10.1</w:t>
            </w:r>
            <w:r w:rsidR="00BB6ADD" w:rsidRPr="00166531">
              <w:t>%)</w:t>
            </w:r>
          </w:p>
        </w:tc>
        <w:tc>
          <w:tcPr>
            <w:tcW w:w="962" w:type="dxa"/>
            <w:shd w:val="clear" w:color="auto" w:fill="auto"/>
          </w:tcPr>
          <w:p w:rsidR="00BB6ADD" w:rsidRPr="00166531" w:rsidRDefault="00BB6ADD" w:rsidP="00B773AD">
            <w:pPr>
              <w:jc w:val="center"/>
            </w:pPr>
            <w:r w:rsidRPr="00166531">
              <w:t>35</w:t>
            </w:r>
            <w:r w:rsidR="007F000F" w:rsidRPr="00166531">
              <w:t>5</w:t>
            </w:r>
          </w:p>
        </w:tc>
        <w:tc>
          <w:tcPr>
            <w:tcW w:w="1276" w:type="dxa"/>
            <w:shd w:val="clear" w:color="auto" w:fill="auto"/>
          </w:tcPr>
          <w:p w:rsidR="00BB6ADD" w:rsidRPr="00166531" w:rsidRDefault="00664D63" w:rsidP="00B773AD">
            <w:pPr>
              <w:jc w:val="center"/>
            </w:pPr>
            <w:r w:rsidRPr="00166531">
              <w:t>89</w:t>
            </w:r>
            <w:r w:rsidR="00BB6ADD" w:rsidRPr="00166531">
              <w:t xml:space="preserve"> (</w:t>
            </w:r>
            <w:r w:rsidRPr="00166531">
              <w:t>2</w:t>
            </w:r>
            <w:r w:rsidR="00BB6ADD" w:rsidRPr="00166531">
              <w:t>5.</w:t>
            </w:r>
            <w:r w:rsidRPr="00166531">
              <w:t>1</w:t>
            </w:r>
            <w:r w:rsidR="00BB6ADD" w:rsidRPr="00166531">
              <w:t>%)</w:t>
            </w:r>
          </w:p>
        </w:tc>
        <w:tc>
          <w:tcPr>
            <w:tcW w:w="992" w:type="dxa"/>
            <w:shd w:val="clear" w:color="auto" w:fill="auto"/>
          </w:tcPr>
          <w:p w:rsidR="00BB6ADD" w:rsidRPr="00166531" w:rsidRDefault="00BB6ADD" w:rsidP="00B773AD">
            <w:pPr>
              <w:jc w:val="center"/>
            </w:pPr>
            <w:r w:rsidRPr="00166531">
              <w:t>4</w:t>
            </w:r>
            <w:r w:rsidR="00664D63" w:rsidRPr="00166531">
              <w:t>2</w:t>
            </w:r>
          </w:p>
        </w:tc>
        <w:tc>
          <w:tcPr>
            <w:tcW w:w="1337" w:type="dxa"/>
            <w:shd w:val="clear" w:color="auto" w:fill="auto"/>
          </w:tcPr>
          <w:p w:rsidR="00BB6ADD" w:rsidRPr="00166531" w:rsidRDefault="00664D63" w:rsidP="00B773AD">
            <w:pPr>
              <w:jc w:val="center"/>
            </w:pPr>
            <w:r w:rsidRPr="00166531">
              <w:t>10</w:t>
            </w:r>
            <w:r w:rsidR="00BB6ADD" w:rsidRPr="00166531">
              <w:t xml:space="preserve"> (</w:t>
            </w:r>
            <w:r w:rsidRPr="00166531">
              <w:t>23.8</w:t>
            </w:r>
            <w:r w:rsidR="00BB6ADD" w:rsidRPr="00166531">
              <w:t>%)</w:t>
            </w:r>
          </w:p>
        </w:tc>
      </w:tr>
      <w:tr w:rsidR="00BB6ADD" w:rsidRPr="00166531" w:rsidTr="004149F6">
        <w:tc>
          <w:tcPr>
            <w:tcW w:w="4815" w:type="dxa"/>
            <w:shd w:val="clear" w:color="auto" w:fill="auto"/>
          </w:tcPr>
          <w:p w:rsidR="00BB6ADD" w:rsidRPr="00166531" w:rsidRDefault="00BB6ADD" w:rsidP="00B773AD">
            <w:r w:rsidRPr="00166531">
              <w:t>Education and Counselling</w:t>
            </w:r>
          </w:p>
        </w:tc>
        <w:tc>
          <w:tcPr>
            <w:tcW w:w="992" w:type="dxa"/>
            <w:shd w:val="clear" w:color="auto" w:fill="auto"/>
          </w:tcPr>
          <w:p w:rsidR="00BB6ADD" w:rsidRPr="00166531" w:rsidRDefault="00BB6ADD" w:rsidP="00B773AD">
            <w:pPr>
              <w:jc w:val="center"/>
            </w:pPr>
            <w:r w:rsidRPr="00166531">
              <w:t>19</w:t>
            </w:r>
            <w:r w:rsidR="007F000F" w:rsidRPr="00166531">
              <w:t>6</w:t>
            </w:r>
          </w:p>
        </w:tc>
        <w:tc>
          <w:tcPr>
            <w:tcW w:w="1291" w:type="dxa"/>
            <w:shd w:val="clear" w:color="auto" w:fill="auto"/>
          </w:tcPr>
          <w:p w:rsidR="00BB6ADD" w:rsidRPr="00166531" w:rsidRDefault="00664D63" w:rsidP="00B773AD">
            <w:pPr>
              <w:jc w:val="center"/>
            </w:pPr>
            <w:r w:rsidRPr="00166531">
              <w:t>7</w:t>
            </w:r>
            <w:r w:rsidR="00BB6ADD" w:rsidRPr="00166531">
              <w:t>0 (</w:t>
            </w:r>
            <w:r w:rsidRPr="00166531">
              <w:t>35.7</w:t>
            </w:r>
            <w:r w:rsidR="00BB6ADD" w:rsidRPr="00166531">
              <w:t>%)</w:t>
            </w:r>
          </w:p>
        </w:tc>
        <w:tc>
          <w:tcPr>
            <w:tcW w:w="977" w:type="dxa"/>
            <w:shd w:val="clear" w:color="auto" w:fill="auto"/>
          </w:tcPr>
          <w:p w:rsidR="00BB6ADD" w:rsidRPr="00166531" w:rsidRDefault="007F000F" w:rsidP="00B773AD">
            <w:pPr>
              <w:jc w:val="center"/>
            </w:pPr>
            <w:r w:rsidRPr="00166531">
              <w:t>2</w:t>
            </w:r>
            <w:r w:rsidR="00664D63" w:rsidRPr="00166531">
              <w:t>72</w:t>
            </w:r>
          </w:p>
        </w:tc>
        <w:tc>
          <w:tcPr>
            <w:tcW w:w="1306" w:type="dxa"/>
            <w:shd w:val="clear" w:color="auto" w:fill="auto"/>
          </w:tcPr>
          <w:p w:rsidR="00BB6ADD" w:rsidRPr="00166531" w:rsidRDefault="00664D63" w:rsidP="00B773AD">
            <w:pPr>
              <w:jc w:val="center"/>
            </w:pPr>
            <w:r w:rsidRPr="00166531">
              <w:t>47</w:t>
            </w:r>
            <w:r w:rsidR="00BB6ADD" w:rsidRPr="00166531">
              <w:t xml:space="preserve"> (1</w:t>
            </w:r>
            <w:r w:rsidRPr="00166531">
              <w:t>7.3</w:t>
            </w:r>
            <w:r w:rsidR="00BB6ADD" w:rsidRPr="00166531">
              <w:t>%)</w:t>
            </w:r>
          </w:p>
        </w:tc>
        <w:tc>
          <w:tcPr>
            <w:tcW w:w="962" w:type="dxa"/>
            <w:shd w:val="clear" w:color="auto" w:fill="auto"/>
          </w:tcPr>
          <w:p w:rsidR="00BB6ADD" w:rsidRPr="00166531" w:rsidRDefault="00BB6ADD" w:rsidP="00B773AD">
            <w:pPr>
              <w:jc w:val="center"/>
            </w:pPr>
            <w:r w:rsidRPr="00166531">
              <w:t>88</w:t>
            </w:r>
          </w:p>
        </w:tc>
        <w:tc>
          <w:tcPr>
            <w:tcW w:w="1276" w:type="dxa"/>
            <w:shd w:val="clear" w:color="auto" w:fill="auto"/>
          </w:tcPr>
          <w:p w:rsidR="00BB6ADD" w:rsidRPr="00166531" w:rsidRDefault="00664D63" w:rsidP="00B773AD">
            <w:pPr>
              <w:jc w:val="center"/>
            </w:pPr>
            <w:r w:rsidRPr="00166531">
              <w:t>31</w:t>
            </w:r>
            <w:r w:rsidR="00BB6ADD" w:rsidRPr="00166531">
              <w:t xml:space="preserve"> (</w:t>
            </w:r>
            <w:r w:rsidRPr="00166531">
              <w:t>35.2</w:t>
            </w:r>
            <w:r w:rsidR="00BB6ADD" w:rsidRPr="00166531">
              <w:t>%)</w:t>
            </w:r>
          </w:p>
        </w:tc>
        <w:tc>
          <w:tcPr>
            <w:tcW w:w="992" w:type="dxa"/>
            <w:shd w:val="clear" w:color="auto" w:fill="auto"/>
          </w:tcPr>
          <w:p w:rsidR="00BB6ADD" w:rsidRPr="00166531" w:rsidRDefault="00BB6ADD" w:rsidP="00B773AD">
            <w:pPr>
              <w:jc w:val="center"/>
            </w:pPr>
            <w:r w:rsidRPr="00166531">
              <w:t>37</w:t>
            </w:r>
          </w:p>
        </w:tc>
        <w:tc>
          <w:tcPr>
            <w:tcW w:w="1337" w:type="dxa"/>
            <w:shd w:val="clear" w:color="auto" w:fill="auto"/>
          </w:tcPr>
          <w:p w:rsidR="00BB6ADD" w:rsidRPr="00166531" w:rsidRDefault="006F7FEB" w:rsidP="00B773AD">
            <w:pPr>
              <w:jc w:val="center"/>
            </w:pPr>
            <w:r w:rsidRPr="00166531">
              <w:t>2 (5.4%)</w:t>
            </w:r>
          </w:p>
        </w:tc>
      </w:tr>
      <w:tr w:rsidR="00BB6ADD" w:rsidRPr="00166531" w:rsidTr="004149F6">
        <w:tc>
          <w:tcPr>
            <w:tcW w:w="4815" w:type="dxa"/>
            <w:shd w:val="clear" w:color="auto" w:fill="auto"/>
          </w:tcPr>
          <w:p w:rsidR="00BB6ADD" w:rsidRPr="00166531" w:rsidRDefault="00BB6ADD" w:rsidP="00B773AD">
            <w:r w:rsidRPr="00166531">
              <w:t>Humanities</w:t>
            </w:r>
          </w:p>
        </w:tc>
        <w:tc>
          <w:tcPr>
            <w:tcW w:w="992" w:type="dxa"/>
            <w:shd w:val="clear" w:color="auto" w:fill="auto"/>
          </w:tcPr>
          <w:p w:rsidR="00BB6ADD" w:rsidRPr="00166531" w:rsidRDefault="00BB6ADD" w:rsidP="00B773AD">
            <w:pPr>
              <w:jc w:val="center"/>
            </w:pPr>
            <w:r w:rsidRPr="00166531">
              <w:t>30</w:t>
            </w:r>
            <w:r w:rsidR="007F000F" w:rsidRPr="00166531">
              <w:t>3</w:t>
            </w:r>
          </w:p>
        </w:tc>
        <w:tc>
          <w:tcPr>
            <w:tcW w:w="1291" w:type="dxa"/>
            <w:shd w:val="clear" w:color="auto" w:fill="auto"/>
          </w:tcPr>
          <w:p w:rsidR="00BB6ADD" w:rsidRPr="00166531" w:rsidRDefault="006F7FEB" w:rsidP="00B773AD">
            <w:pPr>
              <w:jc w:val="center"/>
            </w:pPr>
            <w:r w:rsidRPr="00166531">
              <w:t>106</w:t>
            </w:r>
            <w:r w:rsidR="00BB6ADD" w:rsidRPr="00166531">
              <w:t xml:space="preserve"> (</w:t>
            </w:r>
            <w:r w:rsidRPr="00166531">
              <w:t>34.9</w:t>
            </w:r>
            <w:r w:rsidR="00BB6ADD" w:rsidRPr="00166531">
              <w:t>%)</w:t>
            </w:r>
          </w:p>
        </w:tc>
        <w:tc>
          <w:tcPr>
            <w:tcW w:w="977" w:type="dxa"/>
            <w:shd w:val="clear" w:color="auto" w:fill="auto"/>
          </w:tcPr>
          <w:p w:rsidR="00BB6ADD" w:rsidRPr="00166531" w:rsidRDefault="006F7FEB" w:rsidP="00B773AD">
            <w:pPr>
              <w:jc w:val="center"/>
            </w:pPr>
            <w:r w:rsidRPr="00166531">
              <w:t>546</w:t>
            </w:r>
          </w:p>
        </w:tc>
        <w:tc>
          <w:tcPr>
            <w:tcW w:w="1306" w:type="dxa"/>
            <w:shd w:val="clear" w:color="auto" w:fill="auto"/>
          </w:tcPr>
          <w:p w:rsidR="00BB6ADD" w:rsidRPr="00166531" w:rsidRDefault="006F7FEB" w:rsidP="00B773AD">
            <w:pPr>
              <w:jc w:val="center"/>
            </w:pPr>
            <w:r w:rsidRPr="00166531">
              <w:t>129</w:t>
            </w:r>
            <w:r w:rsidR="00BB6ADD" w:rsidRPr="00166531">
              <w:t xml:space="preserve"> (</w:t>
            </w:r>
            <w:r w:rsidRPr="00166531">
              <w:t>23.6</w:t>
            </w:r>
            <w:r w:rsidR="00BB6ADD" w:rsidRPr="00166531">
              <w:t>%)</w:t>
            </w:r>
          </w:p>
        </w:tc>
        <w:tc>
          <w:tcPr>
            <w:tcW w:w="962" w:type="dxa"/>
            <w:shd w:val="clear" w:color="auto" w:fill="auto"/>
          </w:tcPr>
          <w:p w:rsidR="00BB6ADD" w:rsidRPr="00166531" w:rsidRDefault="00BB6ADD" w:rsidP="00B773AD">
            <w:pPr>
              <w:jc w:val="center"/>
            </w:pPr>
            <w:r w:rsidRPr="00166531">
              <w:t>23</w:t>
            </w:r>
            <w:r w:rsidR="004A7646" w:rsidRPr="00166531">
              <w:t>1</w:t>
            </w:r>
          </w:p>
        </w:tc>
        <w:tc>
          <w:tcPr>
            <w:tcW w:w="1276" w:type="dxa"/>
            <w:shd w:val="clear" w:color="auto" w:fill="auto"/>
          </w:tcPr>
          <w:p w:rsidR="00BB6ADD" w:rsidRPr="00166531" w:rsidRDefault="006F7FEB" w:rsidP="00B773AD">
            <w:pPr>
              <w:jc w:val="center"/>
            </w:pPr>
            <w:r w:rsidRPr="00166531">
              <w:t xml:space="preserve">61 </w:t>
            </w:r>
            <w:r w:rsidR="00BB6ADD" w:rsidRPr="00166531">
              <w:t>(</w:t>
            </w:r>
            <w:r w:rsidR="00CC4497" w:rsidRPr="00166531">
              <w:t>26.4</w:t>
            </w:r>
            <w:r w:rsidR="00BB6ADD" w:rsidRPr="00166531">
              <w:t>%)</w:t>
            </w:r>
          </w:p>
        </w:tc>
        <w:tc>
          <w:tcPr>
            <w:tcW w:w="992" w:type="dxa"/>
            <w:shd w:val="clear" w:color="auto" w:fill="auto"/>
          </w:tcPr>
          <w:p w:rsidR="00BB6ADD" w:rsidRPr="00166531" w:rsidRDefault="00BB6ADD" w:rsidP="00B773AD">
            <w:pPr>
              <w:jc w:val="center"/>
            </w:pPr>
            <w:r w:rsidRPr="00166531">
              <w:t>54</w:t>
            </w:r>
          </w:p>
        </w:tc>
        <w:tc>
          <w:tcPr>
            <w:tcW w:w="1337" w:type="dxa"/>
            <w:shd w:val="clear" w:color="auto" w:fill="auto"/>
          </w:tcPr>
          <w:p w:rsidR="00BB6ADD" w:rsidRPr="00166531" w:rsidRDefault="00CC4497" w:rsidP="00B773AD">
            <w:pPr>
              <w:jc w:val="center"/>
            </w:pPr>
            <w:r w:rsidRPr="00166531">
              <w:t>3</w:t>
            </w:r>
            <w:r w:rsidR="00BB6ADD" w:rsidRPr="00166531">
              <w:t xml:space="preserve"> </w:t>
            </w:r>
            <w:r w:rsidRPr="00166531">
              <w:t>(5.5</w:t>
            </w:r>
            <w:r w:rsidR="00BB6ADD" w:rsidRPr="00166531">
              <w:t>%)</w:t>
            </w:r>
          </w:p>
        </w:tc>
      </w:tr>
      <w:tr w:rsidR="00BB6ADD" w:rsidRPr="00166531" w:rsidTr="004149F6">
        <w:tc>
          <w:tcPr>
            <w:tcW w:w="4815" w:type="dxa"/>
            <w:shd w:val="clear" w:color="auto" w:fill="auto"/>
          </w:tcPr>
          <w:p w:rsidR="00BB6ADD" w:rsidRPr="00166531" w:rsidRDefault="00BB6ADD" w:rsidP="00B773AD">
            <w:r w:rsidRPr="00166531">
              <w:t>Lanarkshire Business School</w:t>
            </w:r>
          </w:p>
        </w:tc>
        <w:tc>
          <w:tcPr>
            <w:tcW w:w="992" w:type="dxa"/>
            <w:shd w:val="clear" w:color="auto" w:fill="auto"/>
          </w:tcPr>
          <w:p w:rsidR="00BB6ADD" w:rsidRPr="00166531" w:rsidRDefault="00BB6ADD" w:rsidP="00B773AD">
            <w:pPr>
              <w:jc w:val="center"/>
            </w:pPr>
            <w:r w:rsidRPr="00166531">
              <w:t>1</w:t>
            </w:r>
            <w:r w:rsidR="004A7646" w:rsidRPr="00166531">
              <w:t>40</w:t>
            </w:r>
          </w:p>
        </w:tc>
        <w:tc>
          <w:tcPr>
            <w:tcW w:w="1291" w:type="dxa"/>
            <w:shd w:val="clear" w:color="auto" w:fill="auto"/>
          </w:tcPr>
          <w:p w:rsidR="00BB6ADD" w:rsidRPr="00166531" w:rsidRDefault="00CC4497" w:rsidP="00B773AD">
            <w:pPr>
              <w:jc w:val="center"/>
            </w:pPr>
            <w:r w:rsidRPr="00166531">
              <w:t>64</w:t>
            </w:r>
            <w:r w:rsidR="00BB6ADD" w:rsidRPr="00166531">
              <w:t xml:space="preserve"> (</w:t>
            </w:r>
            <w:r w:rsidRPr="00166531">
              <w:t>45.7</w:t>
            </w:r>
            <w:r w:rsidR="00BB6ADD" w:rsidRPr="00166531">
              <w:t>%)</w:t>
            </w:r>
          </w:p>
        </w:tc>
        <w:tc>
          <w:tcPr>
            <w:tcW w:w="977" w:type="dxa"/>
            <w:shd w:val="clear" w:color="auto" w:fill="auto"/>
          </w:tcPr>
          <w:p w:rsidR="00BB6ADD" w:rsidRPr="00166531" w:rsidRDefault="00CC4497" w:rsidP="00B773AD">
            <w:pPr>
              <w:jc w:val="center"/>
            </w:pPr>
            <w:r w:rsidRPr="00166531">
              <w:t>414</w:t>
            </w:r>
          </w:p>
        </w:tc>
        <w:tc>
          <w:tcPr>
            <w:tcW w:w="1306" w:type="dxa"/>
            <w:shd w:val="clear" w:color="auto" w:fill="auto"/>
          </w:tcPr>
          <w:p w:rsidR="00BB6ADD" w:rsidRPr="00166531" w:rsidRDefault="00CC4497" w:rsidP="00B773AD">
            <w:pPr>
              <w:jc w:val="center"/>
            </w:pPr>
            <w:r w:rsidRPr="00166531">
              <w:t xml:space="preserve">56 </w:t>
            </w:r>
            <w:r w:rsidR="00BB6ADD" w:rsidRPr="00166531">
              <w:t>(</w:t>
            </w:r>
            <w:r w:rsidRPr="00166531">
              <w:t>13.5</w:t>
            </w:r>
            <w:r w:rsidR="00BB6ADD" w:rsidRPr="00166531">
              <w:t xml:space="preserve">%) </w:t>
            </w:r>
          </w:p>
        </w:tc>
        <w:tc>
          <w:tcPr>
            <w:tcW w:w="962" w:type="dxa"/>
            <w:shd w:val="clear" w:color="auto" w:fill="auto"/>
          </w:tcPr>
          <w:p w:rsidR="00BB6ADD" w:rsidRPr="00166531" w:rsidRDefault="00BB6ADD" w:rsidP="00B773AD">
            <w:pPr>
              <w:jc w:val="center"/>
            </w:pPr>
            <w:r w:rsidRPr="00166531">
              <w:t>2</w:t>
            </w:r>
            <w:r w:rsidR="00CC4497" w:rsidRPr="00166531">
              <w:t>46</w:t>
            </w:r>
          </w:p>
        </w:tc>
        <w:tc>
          <w:tcPr>
            <w:tcW w:w="1276" w:type="dxa"/>
            <w:shd w:val="clear" w:color="auto" w:fill="auto"/>
          </w:tcPr>
          <w:p w:rsidR="00BB6ADD" w:rsidRPr="00166531" w:rsidRDefault="00CC4497" w:rsidP="00B773AD">
            <w:pPr>
              <w:jc w:val="center"/>
            </w:pPr>
            <w:r w:rsidRPr="00166531">
              <w:t>80</w:t>
            </w:r>
            <w:r w:rsidR="00BB6ADD" w:rsidRPr="00166531">
              <w:t xml:space="preserve"> (</w:t>
            </w:r>
            <w:r w:rsidRPr="00166531">
              <w:t>3</w:t>
            </w:r>
            <w:r w:rsidR="00BB6ADD" w:rsidRPr="00166531">
              <w:t>2</w:t>
            </w:r>
            <w:r w:rsidRPr="00166531">
              <w:t>.5</w:t>
            </w:r>
            <w:r w:rsidR="00BB6ADD" w:rsidRPr="00166531">
              <w:t>%)</w:t>
            </w:r>
          </w:p>
        </w:tc>
        <w:tc>
          <w:tcPr>
            <w:tcW w:w="992" w:type="dxa"/>
            <w:shd w:val="clear" w:color="auto" w:fill="auto"/>
          </w:tcPr>
          <w:p w:rsidR="00BB6ADD" w:rsidRPr="00166531" w:rsidRDefault="00BB6ADD" w:rsidP="00B773AD">
            <w:pPr>
              <w:jc w:val="center"/>
            </w:pPr>
            <w:r w:rsidRPr="00166531">
              <w:t>1</w:t>
            </w:r>
            <w:r w:rsidR="00CC4497" w:rsidRPr="00166531">
              <w:t>63</w:t>
            </w:r>
          </w:p>
        </w:tc>
        <w:tc>
          <w:tcPr>
            <w:tcW w:w="1337" w:type="dxa"/>
            <w:shd w:val="clear" w:color="auto" w:fill="auto"/>
          </w:tcPr>
          <w:p w:rsidR="00BB6ADD" w:rsidRPr="00166531" w:rsidRDefault="00CC4497" w:rsidP="00B773AD">
            <w:pPr>
              <w:jc w:val="center"/>
            </w:pPr>
            <w:r w:rsidRPr="00166531">
              <w:t>46</w:t>
            </w:r>
            <w:r w:rsidR="00BB6ADD" w:rsidRPr="00166531">
              <w:t xml:space="preserve"> (</w:t>
            </w:r>
            <w:r w:rsidRPr="00166531">
              <w:t>28.2</w:t>
            </w:r>
            <w:r w:rsidR="00BB6ADD" w:rsidRPr="00166531">
              <w:t>%)</w:t>
            </w:r>
          </w:p>
        </w:tc>
      </w:tr>
      <w:tr w:rsidR="00BB6ADD" w:rsidRPr="00166531" w:rsidTr="004149F6">
        <w:tc>
          <w:tcPr>
            <w:tcW w:w="4815" w:type="dxa"/>
            <w:shd w:val="clear" w:color="auto" w:fill="auto"/>
          </w:tcPr>
          <w:p w:rsidR="00BB6ADD" w:rsidRPr="00166531" w:rsidRDefault="00BB6ADD" w:rsidP="00B773AD">
            <w:r w:rsidRPr="00166531">
              <w:t>Lanarkshire Institute of Science and Technology</w:t>
            </w:r>
          </w:p>
        </w:tc>
        <w:tc>
          <w:tcPr>
            <w:tcW w:w="992" w:type="dxa"/>
            <w:shd w:val="clear" w:color="auto" w:fill="auto"/>
          </w:tcPr>
          <w:p w:rsidR="00BB6ADD" w:rsidRPr="00166531" w:rsidRDefault="00BB6ADD" w:rsidP="00B773AD">
            <w:pPr>
              <w:jc w:val="center"/>
            </w:pPr>
            <w:r w:rsidRPr="00166531">
              <w:t>25</w:t>
            </w:r>
            <w:r w:rsidR="00CC4497" w:rsidRPr="00166531">
              <w:t>6</w:t>
            </w:r>
          </w:p>
        </w:tc>
        <w:tc>
          <w:tcPr>
            <w:tcW w:w="1291" w:type="dxa"/>
            <w:shd w:val="clear" w:color="auto" w:fill="auto"/>
          </w:tcPr>
          <w:p w:rsidR="00BB6ADD" w:rsidRPr="00166531" w:rsidRDefault="00CC4497" w:rsidP="00B773AD">
            <w:pPr>
              <w:jc w:val="center"/>
            </w:pPr>
            <w:r w:rsidRPr="00166531">
              <w:t>7</w:t>
            </w:r>
            <w:r w:rsidR="00BB6ADD" w:rsidRPr="00166531">
              <w:t>9 (</w:t>
            </w:r>
            <w:r w:rsidRPr="00166531">
              <w:t>30.9</w:t>
            </w:r>
            <w:r w:rsidR="00BB6ADD" w:rsidRPr="00166531">
              <w:t>%)</w:t>
            </w:r>
          </w:p>
        </w:tc>
        <w:tc>
          <w:tcPr>
            <w:tcW w:w="977" w:type="dxa"/>
            <w:shd w:val="clear" w:color="auto" w:fill="auto"/>
          </w:tcPr>
          <w:p w:rsidR="00BB6ADD" w:rsidRPr="00166531" w:rsidRDefault="00CC4497" w:rsidP="00B773AD">
            <w:pPr>
              <w:jc w:val="center"/>
            </w:pPr>
            <w:r w:rsidRPr="00166531">
              <w:t>609</w:t>
            </w:r>
          </w:p>
        </w:tc>
        <w:tc>
          <w:tcPr>
            <w:tcW w:w="1306" w:type="dxa"/>
            <w:shd w:val="clear" w:color="auto" w:fill="auto"/>
          </w:tcPr>
          <w:p w:rsidR="00BB6ADD" w:rsidRPr="00166531" w:rsidRDefault="00CC4497" w:rsidP="00B773AD">
            <w:pPr>
              <w:jc w:val="center"/>
            </w:pPr>
            <w:r w:rsidRPr="00166531">
              <w:t>52</w:t>
            </w:r>
            <w:r w:rsidR="00BB6ADD" w:rsidRPr="00166531">
              <w:t xml:space="preserve"> (</w:t>
            </w:r>
            <w:r w:rsidRPr="00166531">
              <w:t>8.5</w:t>
            </w:r>
            <w:r w:rsidR="00BB6ADD" w:rsidRPr="00166531">
              <w:t>%)</w:t>
            </w:r>
          </w:p>
        </w:tc>
        <w:tc>
          <w:tcPr>
            <w:tcW w:w="962" w:type="dxa"/>
            <w:shd w:val="clear" w:color="auto" w:fill="auto"/>
          </w:tcPr>
          <w:p w:rsidR="00BB6ADD" w:rsidRPr="00166531" w:rsidRDefault="00BB6ADD" w:rsidP="00B773AD">
            <w:pPr>
              <w:jc w:val="center"/>
            </w:pPr>
            <w:r w:rsidRPr="00166531">
              <w:t>17</w:t>
            </w:r>
            <w:r w:rsidR="00F90FB6" w:rsidRPr="00166531">
              <w:t>9</w:t>
            </w:r>
          </w:p>
        </w:tc>
        <w:tc>
          <w:tcPr>
            <w:tcW w:w="1276" w:type="dxa"/>
            <w:shd w:val="clear" w:color="auto" w:fill="auto"/>
          </w:tcPr>
          <w:p w:rsidR="00BB6ADD" w:rsidRPr="00166531" w:rsidRDefault="00F90FB6" w:rsidP="00B773AD">
            <w:pPr>
              <w:jc w:val="center"/>
            </w:pPr>
            <w:r w:rsidRPr="00166531">
              <w:t>36</w:t>
            </w:r>
            <w:r w:rsidR="00BB6ADD" w:rsidRPr="00166531">
              <w:t xml:space="preserve"> (</w:t>
            </w:r>
            <w:r w:rsidRPr="00166531">
              <w:t>20.1</w:t>
            </w:r>
            <w:r w:rsidR="00BB6ADD" w:rsidRPr="00166531">
              <w:t>%)</w:t>
            </w:r>
          </w:p>
        </w:tc>
        <w:tc>
          <w:tcPr>
            <w:tcW w:w="992" w:type="dxa"/>
            <w:shd w:val="clear" w:color="auto" w:fill="auto"/>
          </w:tcPr>
          <w:p w:rsidR="00BB6ADD" w:rsidRPr="00166531" w:rsidRDefault="00BB6ADD" w:rsidP="00B773AD">
            <w:pPr>
              <w:jc w:val="center"/>
            </w:pPr>
            <w:r w:rsidRPr="00166531">
              <w:t>13</w:t>
            </w:r>
            <w:r w:rsidR="00F90FB6" w:rsidRPr="00166531">
              <w:t>0</w:t>
            </w:r>
          </w:p>
        </w:tc>
        <w:tc>
          <w:tcPr>
            <w:tcW w:w="1337" w:type="dxa"/>
            <w:shd w:val="clear" w:color="auto" w:fill="auto"/>
          </w:tcPr>
          <w:p w:rsidR="00BB6ADD" w:rsidRPr="00166531" w:rsidRDefault="00F90FB6" w:rsidP="00B773AD">
            <w:pPr>
              <w:jc w:val="center"/>
            </w:pPr>
            <w:r w:rsidRPr="00166531">
              <w:t>7</w:t>
            </w:r>
            <w:r w:rsidR="00BB6ADD" w:rsidRPr="00166531">
              <w:t xml:space="preserve"> (</w:t>
            </w:r>
            <w:r w:rsidRPr="00166531">
              <w:t>5.4</w:t>
            </w:r>
            <w:r w:rsidR="00BB6ADD" w:rsidRPr="00166531">
              <w:t>%)</w:t>
            </w:r>
          </w:p>
        </w:tc>
      </w:tr>
      <w:tr w:rsidR="00BB6ADD" w:rsidRPr="00166531" w:rsidTr="004149F6">
        <w:tc>
          <w:tcPr>
            <w:tcW w:w="4815" w:type="dxa"/>
            <w:shd w:val="clear" w:color="auto" w:fill="auto"/>
          </w:tcPr>
          <w:p w:rsidR="00BB6ADD" w:rsidRPr="00166531" w:rsidRDefault="00BB6ADD" w:rsidP="00B773AD">
            <w:r w:rsidRPr="00166531">
              <w:t>Music and Performing Arts</w:t>
            </w:r>
          </w:p>
        </w:tc>
        <w:tc>
          <w:tcPr>
            <w:tcW w:w="992" w:type="dxa"/>
            <w:shd w:val="clear" w:color="auto" w:fill="auto"/>
          </w:tcPr>
          <w:p w:rsidR="00BB6ADD" w:rsidRPr="00166531" w:rsidRDefault="00BB6ADD" w:rsidP="00B773AD">
            <w:pPr>
              <w:jc w:val="center"/>
            </w:pPr>
            <w:r w:rsidRPr="00166531">
              <w:t>91</w:t>
            </w:r>
          </w:p>
        </w:tc>
        <w:tc>
          <w:tcPr>
            <w:tcW w:w="1291" w:type="dxa"/>
            <w:shd w:val="clear" w:color="auto" w:fill="auto"/>
          </w:tcPr>
          <w:p w:rsidR="00BB6ADD" w:rsidRPr="00166531" w:rsidRDefault="00F90FB6" w:rsidP="00B773AD">
            <w:pPr>
              <w:jc w:val="center"/>
            </w:pPr>
            <w:r w:rsidRPr="00166531">
              <w:t>24</w:t>
            </w:r>
            <w:r w:rsidR="00BB6ADD" w:rsidRPr="00166531">
              <w:t xml:space="preserve"> </w:t>
            </w:r>
            <w:r w:rsidRPr="00166531">
              <w:t>(26.4</w:t>
            </w:r>
            <w:r w:rsidR="00BB6ADD" w:rsidRPr="00166531">
              <w:t>%)</w:t>
            </w:r>
          </w:p>
        </w:tc>
        <w:tc>
          <w:tcPr>
            <w:tcW w:w="977" w:type="dxa"/>
            <w:shd w:val="clear" w:color="auto" w:fill="auto"/>
          </w:tcPr>
          <w:p w:rsidR="00BB6ADD" w:rsidRPr="00166531" w:rsidRDefault="00F90FB6" w:rsidP="00B773AD">
            <w:pPr>
              <w:jc w:val="center"/>
            </w:pPr>
            <w:r w:rsidRPr="00166531">
              <w:t>333</w:t>
            </w:r>
          </w:p>
        </w:tc>
        <w:tc>
          <w:tcPr>
            <w:tcW w:w="1306" w:type="dxa"/>
            <w:shd w:val="clear" w:color="auto" w:fill="auto"/>
          </w:tcPr>
          <w:p w:rsidR="00BB6ADD" w:rsidRPr="00166531" w:rsidRDefault="00F90FB6" w:rsidP="00B773AD">
            <w:pPr>
              <w:jc w:val="center"/>
            </w:pPr>
            <w:r w:rsidRPr="00166531">
              <w:t>60</w:t>
            </w:r>
            <w:r w:rsidR="00BB6ADD" w:rsidRPr="00166531">
              <w:t xml:space="preserve"> (1</w:t>
            </w:r>
            <w:r w:rsidRPr="00166531">
              <w:t>8</w:t>
            </w:r>
            <w:r w:rsidR="00BB6ADD" w:rsidRPr="00166531">
              <w:t>%)</w:t>
            </w:r>
          </w:p>
        </w:tc>
        <w:tc>
          <w:tcPr>
            <w:tcW w:w="962" w:type="dxa"/>
            <w:shd w:val="clear" w:color="auto" w:fill="auto"/>
          </w:tcPr>
          <w:p w:rsidR="00BB6ADD" w:rsidRPr="00166531" w:rsidRDefault="00BB6ADD" w:rsidP="00B773AD">
            <w:pPr>
              <w:jc w:val="center"/>
            </w:pPr>
            <w:r w:rsidRPr="00166531">
              <w:t>39</w:t>
            </w:r>
            <w:r w:rsidR="004A7646" w:rsidRPr="00166531">
              <w:t>6</w:t>
            </w:r>
          </w:p>
        </w:tc>
        <w:tc>
          <w:tcPr>
            <w:tcW w:w="1276" w:type="dxa"/>
            <w:shd w:val="clear" w:color="auto" w:fill="auto"/>
          </w:tcPr>
          <w:p w:rsidR="00BB6ADD" w:rsidRPr="00166531" w:rsidRDefault="00F90FB6" w:rsidP="00B773AD">
            <w:pPr>
              <w:jc w:val="center"/>
            </w:pPr>
            <w:r w:rsidRPr="00166531">
              <w:t>54</w:t>
            </w:r>
            <w:r w:rsidR="00BB6ADD" w:rsidRPr="00166531">
              <w:t xml:space="preserve"> (</w:t>
            </w:r>
            <w:r w:rsidRPr="00166531">
              <w:t>13.6</w:t>
            </w:r>
            <w:r w:rsidR="00BB6ADD" w:rsidRPr="00166531">
              <w:t>%)</w:t>
            </w:r>
          </w:p>
        </w:tc>
        <w:tc>
          <w:tcPr>
            <w:tcW w:w="992" w:type="dxa"/>
            <w:shd w:val="clear" w:color="auto" w:fill="auto"/>
          </w:tcPr>
          <w:p w:rsidR="00BB6ADD" w:rsidRPr="00166531" w:rsidRDefault="00BB6ADD" w:rsidP="00B773AD">
            <w:pPr>
              <w:jc w:val="center"/>
            </w:pPr>
            <w:r w:rsidRPr="00166531">
              <w:t>3</w:t>
            </w:r>
          </w:p>
        </w:tc>
        <w:tc>
          <w:tcPr>
            <w:tcW w:w="1337" w:type="dxa"/>
            <w:shd w:val="clear" w:color="auto" w:fill="auto"/>
          </w:tcPr>
          <w:p w:rsidR="00BB6ADD" w:rsidRPr="00166531" w:rsidRDefault="00F90FB6" w:rsidP="00B773AD">
            <w:pPr>
              <w:jc w:val="center"/>
            </w:pPr>
            <w:r w:rsidRPr="00166531">
              <w:t>1 (33.3%)</w:t>
            </w:r>
          </w:p>
        </w:tc>
      </w:tr>
      <w:tr w:rsidR="00BB6ADD" w:rsidRPr="00166531" w:rsidTr="004149F6">
        <w:tc>
          <w:tcPr>
            <w:tcW w:w="4815" w:type="dxa"/>
            <w:shd w:val="clear" w:color="auto" w:fill="auto"/>
          </w:tcPr>
          <w:p w:rsidR="00BB6ADD" w:rsidRPr="00166531" w:rsidRDefault="00BB6ADD" w:rsidP="00B773AD">
            <w:r w:rsidRPr="00166531">
              <w:t>Spo</w:t>
            </w:r>
            <w:r w:rsidRPr="00166531">
              <w:rPr>
                <w:shd w:val="clear" w:color="auto" w:fill="E2EFD9" w:themeFill="accent6" w:themeFillTint="33"/>
              </w:rPr>
              <w:t>r</w:t>
            </w:r>
            <w:r w:rsidRPr="00166531">
              <w:t>ts and Physical Activities</w:t>
            </w:r>
          </w:p>
        </w:tc>
        <w:tc>
          <w:tcPr>
            <w:tcW w:w="992" w:type="dxa"/>
            <w:shd w:val="clear" w:color="auto" w:fill="auto"/>
          </w:tcPr>
          <w:p w:rsidR="00BB6ADD" w:rsidRPr="00166531" w:rsidRDefault="00BB6ADD" w:rsidP="00B773AD">
            <w:pPr>
              <w:jc w:val="center"/>
            </w:pPr>
            <w:r w:rsidRPr="00166531">
              <w:t>14</w:t>
            </w:r>
            <w:r w:rsidR="00FE4BE1" w:rsidRPr="00166531">
              <w:t>4</w:t>
            </w:r>
          </w:p>
        </w:tc>
        <w:tc>
          <w:tcPr>
            <w:tcW w:w="1291" w:type="dxa"/>
            <w:shd w:val="clear" w:color="auto" w:fill="auto"/>
          </w:tcPr>
          <w:p w:rsidR="00BB6ADD" w:rsidRPr="00166531" w:rsidRDefault="002A177F" w:rsidP="00B773AD">
            <w:pPr>
              <w:jc w:val="center"/>
            </w:pPr>
            <w:r w:rsidRPr="00166531">
              <w:t xml:space="preserve">48 </w:t>
            </w:r>
            <w:r w:rsidR="00BB6ADD" w:rsidRPr="00166531">
              <w:t>(</w:t>
            </w:r>
            <w:r w:rsidRPr="00166531">
              <w:t>33.3</w:t>
            </w:r>
            <w:r w:rsidR="00BB6ADD" w:rsidRPr="00166531">
              <w:t>%)</w:t>
            </w:r>
          </w:p>
        </w:tc>
        <w:tc>
          <w:tcPr>
            <w:tcW w:w="977" w:type="dxa"/>
            <w:shd w:val="clear" w:color="auto" w:fill="auto"/>
          </w:tcPr>
          <w:p w:rsidR="00BB6ADD" w:rsidRPr="00166531" w:rsidRDefault="002A177F" w:rsidP="00B773AD">
            <w:pPr>
              <w:jc w:val="center"/>
            </w:pPr>
            <w:r w:rsidRPr="00166531">
              <w:t>1236</w:t>
            </w:r>
          </w:p>
        </w:tc>
        <w:tc>
          <w:tcPr>
            <w:tcW w:w="1306" w:type="dxa"/>
            <w:shd w:val="clear" w:color="auto" w:fill="auto"/>
          </w:tcPr>
          <w:p w:rsidR="00BB6ADD" w:rsidRPr="00166531" w:rsidRDefault="002A177F" w:rsidP="00B773AD">
            <w:pPr>
              <w:jc w:val="center"/>
            </w:pPr>
            <w:r w:rsidRPr="00166531">
              <w:t xml:space="preserve">25 </w:t>
            </w:r>
            <w:r w:rsidR="00BB6ADD" w:rsidRPr="00166531">
              <w:t>(2%)</w:t>
            </w:r>
          </w:p>
        </w:tc>
        <w:tc>
          <w:tcPr>
            <w:tcW w:w="962" w:type="dxa"/>
            <w:shd w:val="clear" w:color="auto" w:fill="auto"/>
          </w:tcPr>
          <w:p w:rsidR="00BB6ADD" w:rsidRPr="00166531" w:rsidRDefault="00BB6ADD" w:rsidP="00B773AD">
            <w:pPr>
              <w:jc w:val="center"/>
            </w:pPr>
            <w:r w:rsidRPr="00166531">
              <w:t>1</w:t>
            </w:r>
            <w:r w:rsidR="00FE4BE1" w:rsidRPr="00166531">
              <w:t>62</w:t>
            </w:r>
          </w:p>
        </w:tc>
        <w:tc>
          <w:tcPr>
            <w:tcW w:w="1276" w:type="dxa"/>
            <w:shd w:val="clear" w:color="auto" w:fill="auto"/>
          </w:tcPr>
          <w:p w:rsidR="00BB6ADD" w:rsidRPr="00166531" w:rsidRDefault="002A177F" w:rsidP="00B773AD">
            <w:pPr>
              <w:jc w:val="center"/>
            </w:pPr>
            <w:r w:rsidRPr="00166531">
              <w:t>33</w:t>
            </w:r>
            <w:r w:rsidR="00BB6ADD" w:rsidRPr="00166531">
              <w:t xml:space="preserve"> (</w:t>
            </w:r>
            <w:r w:rsidRPr="00166531">
              <w:t>20.4</w:t>
            </w:r>
            <w:r w:rsidR="00BB6ADD" w:rsidRPr="00166531">
              <w:t>%)</w:t>
            </w:r>
          </w:p>
        </w:tc>
        <w:tc>
          <w:tcPr>
            <w:tcW w:w="992" w:type="dxa"/>
            <w:shd w:val="clear" w:color="auto" w:fill="auto"/>
          </w:tcPr>
          <w:p w:rsidR="00BB6ADD" w:rsidRPr="00166531" w:rsidRDefault="00FE4BE1" w:rsidP="00B773AD">
            <w:pPr>
              <w:jc w:val="center"/>
            </w:pPr>
            <w:r w:rsidRPr="00166531">
              <w:t>2</w:t>
            </w:r>
            <w:r w:rsidR="002A177F" w:rsidRPr="00166531">
              <w:t>6</w:t>
            </w:r>
          </w:p>
        </w:tc>
        <w:tc>
          <w:tcPr>
            <w:tcW w:w="1337" w:type="dxa"/>
            <w:shd w:val="clear" w:color="auto" w:fill="auto"/>
          </w:tcPr>
          <w:p w:rsidR="00BB6ADD" w:rsidRPr="00166531" w:rsidRDefault="002A177F" w:rsidP="00B773AD">
            <w:pPr>
              <w:jc w:val="center"/>
            </w:pPr>
            <w:r w:rsidRPr="00166531">
              <w:t>2 (7.7%)</w:t>
            </w:r>
          </w:p>
        </w:tc>
      </w:tr>
      <w:tr w:rsidR="002A177F" w:rsidRPr="00166531" w:rsidTr="004149F6">
        <w:tc>
          <w:tcPr>
            <w:tcW w:w="4815" w:type="dxa"/>
            <w:shd w:val="clear" w:color="auto" w:fill="auto"/>
          </w:tcPr>
          <w:p w:rsidR="002A177F" w:rsidRPr="00166531" w:rsidRDefault="002A177F" w:rsidP="002A177F">
            <w:bookmarkStart w:id="4" w:name="_Hlk173415905"/>
            <w:r w:rsidRPr="00166531">
              <w:t xml:space="preserve">Staff Development Academy </w:t>
            </w:r>
          </w:p>
        </w:tc>
        <w:tc>
          <w:tcPr>
            <w:tcW w:w="992" w:type="dxa"/>
            <w:shd w:val="clear" w:color="auto" w:fill="D0CECE" w:themeFill="background2" w:themeFillShade="E6"/>
          </w:tcPr>
          <w:p w:rsidR="002A177F" w:rsidRPr="00166531" w:rsidRDefault="002A177F" w:rsidP="002A177F">
            <w:pPr>
              <w:jc w:val="center"/>
            </w:pPr>
          </w:p>
        </w:tc>
        <w:tc>
          <w:tcPr>
            <w:tcW w:w="1291" w:type="dxa"/>
            <w:shd w:val="clear" w:color="auto" w:fill="D0CECE" w:themeFill="background2" w:themeFillShade="E6"/>
          </w:tcPr>
          <w:p w:rsidR="002A177F" w:rsidRPr="00166531" w:rsidRDefault="002A177F" w:rsidP="002A177F">
            <w:pPr>
              <w:jc w:val="center"/>
            </w:pPr>
          </w:p>
        </w:tc>
        <w:tc>
          <w:tcPr>
            <w:tcW w:w="977" w:type="dxa"/>
            <w:shd w:val="clear" w:color="auto" w:fill="auto"/>
          </w:tcPr>
          <w:p w:rsidR="002A177F" w:rsidRPr="00166531" w:rsidRDefault="002A177F" w:rsidP="002A177F">
            <w:pPr>
              <w:jc w:val="center"/>
            </w:pPr>
            <w:r w:rsidRPr="00166531">
              <w:t>71</w:t>
            </w:r>
          </w:p>
        </w:tc>
        <w:tc>
          <w:tcPr>
            <w:tcW w:w="1306" w:type="dxa"/>
            <w:shd w:val="clear" w:color="auto" w:fill="auto"/>
          </w:tcPr>
          <w:p w:rsidR="002A177F" w:rsidRPr="00166531" w:rsidRDefault="002A177F" w:rsidP="002A177F">
            <w:pPr>
              <w:jc w:val="center"/>
            </w:pPr>
            <w:r w:rsidRPr="00166531">
              <w:t>1 (1.4%)</w:t>
            </w:r>
          </w:p>
        </w:tc>
        <w:tc>
          <w:tcPr>
            <w:tcW w:w="962" w:type="dxa"/>
            <w:shd w:val="clear" w:color="auto" w:fill="D0CECE" w:themeFill="background2" w:themeFillShade="E6"/>
          </w:tcPr>
          <w:p w:rsidR="002A177F" w:rsidRPr="00166531" w:rsidRDefault="002A177F" w:rsidP="002A177F">
            <w:pPr>
              <w:jc w:val="center"/>
            </w:pPr>
          </w:p>
        </w:tc>
        <w:tc>
          <w:tcPr>
            <w:tcW w:w="1276" w:type="dxa"/>
            <w:shd w:val="clear" w:color="auto" w:fill="D0CECE" w:themeFill="background2" w:themeFillShade="E6"/>
          </w:tcPr>
          <w:p w:rsidR="002A177F" w:rsidRPr="00166531" w:rsidRDefault="002A177F" w:rsidP="002A177F">
            <w:pPr>
              <w:jc w:val="center"/>
            </w:pPr>
          </w:p>
        </w:tc>
        <w:tc>
          <w:tcPr>
            <w:tcW w:w="992" w:type="dxa"/>
            <w:shd w:val="clear" w:color="auto" w:fill="auto"/>
          </w:tcPr>
          <w:p w:rsidR="002A177F" w:rsidRPr="00166531" w:rsidRDefault="002A177F" w:rsidP="002A177F">
            <w:pPr>
              <w:jc w:val="center"/>
            </w:pPr>
            <w:r w:rsidRPr="00166531">
              <w:t>57</w:t>
            </w:r>
          </w:p>
        </w:tc>
        <w:tc>
          <w:tcPr>
            <w:tcW w:w="1337" w:type="dxa"/>
            <w:shd w:val="clear" w:color="auto" w:fill="auto"/>
          </w:tcPr>
          <w:p w:rsidR="002A177F" w:rsidRPr="00166531" w:rsidRDefault="002A177F" w:rsidP="002A177F">
            <w:pPr>
              <w:jc w:val="center"/>
            </w:pPr>
            <w:r w:rsidRPr="00166531">
              <w:t>-</w:t>
            </w:r>
          </w:p>
        </w:tc>
      </w:tr>
      <w:bookmarkEnd w:id="4"/>
      <w:tr w:rsidR="002A177F" w:rsidRPr="00166531" w:rsidTr="004149F6">
        <w:tc>
          <w:tcPr>
            <w:tcW w:w="4815" w:type="dxa"/>
            <w:shd w:val="clear" w:color="auto" w:fill="auto"/>
          </w:tcPr>
          <w:p w:rsidR="002A177F" w:rsidRPr="00166531" w:rsidRDefault="002A177F" w:rsidP="002A177F">
            <w:r w:rsidRPr="00166531">
              <w:t>Supported Learning</w:t>
            </w:r>
          </w:p>
        </w:tc>
        <w:tc>
          <w:tcPr>
            <w:tcW w:w="992" w:type="dxa"/>
            <w:shd w:val="clear" w:color="auto" w:fill="auto"/>
          </w:tcPr>
          <w:p w:rsidR="002A177F" w:rsidRPr="00166531" w:rsidRDefault="002A177F" w:rsidP="002A177F">
            <w:pPr>
              <w:jc w:val="center"/>
            </w:pPr>
            <w:r w:rsidRPr="00166531">
              <w:t>226</w:t>
            </w:r>
          </w:p>
        </w:tc>
        <w:tc>
          <w:tcPr>
            <w:tcW w:w="1291" w:type="dxa"/>
            <w:shd w:val="clear" w:color="auto" w:fill="auto"/>
          </w:tcPr>
          <w:p w:rsidR="002A177F" w:rsidRPr="00166531" w:rsidRDefault="002A177F" w:rsidP="002A177F">
            <w:pPr>
              <w:jc w:val="center"/>
            </w:pPr>
            <w:r w:rsidRPr="00166531">
              <w:t>14 (6.2%)</w:t>
            </w:r>
          </w:p>
        </w:tc>
        <w:tc>
          <w:tcPr>
            <w:tcW w:w="977" w:type="dxa"/>
            <w:shd w:val="clear" w:color="auto" w:fill="auto"/>
          </w:tcPr>
          <w:p w:rsidR="002A177F" w:rsidRPr="00166531" w:rsidRDefault="002A177F" w:rsidP="002A177F">
            <w:pPr>
              <w:jc w:val="center"/>
            </w:pPr>
            <w:r w:rsidRPr="00166531">
              <w:t>240</w:t>
            </w:r>
          </w:p>
        </w:tc>
        <w:tc>
          <w:tcPr>
            <w:tcW w:w="1306" w:type="dxa"/>
            <w:shd w:val="clear" w:color="auto" w:fill="auto"/>
          </w:tcPr>
          <w:p w:rsidR="002A177F" w:rsidRPr="00166531" w:rsidRDefault="002A177F" w:rsidP="002A177F">
            <w:pPr>
              <w:jc w:val="center"/>
            </w:pPr>
            <w:r w:rsidRPr="00166531">
              <w:t>1 (0.4%)</w:t>
            </w:r>
          </w:p>
        </w:tc>
        <w:tc>
          <w:tcPr>
            <w:tcW w:w="962" w:type="dxa"/>
            <w:shd w:val="clear" w:color="auto" w:fill="D0CECE" w:themeFill="background2" w:themeFillShade="E6"/>
          </w:tcPr>
          <w:p w:rsidR="002A177F" w:rsidRPr="00166531" w:rsidRDefault="002A177F" w:rsidP="002A177F">
            <w:pPr>
              <w:jc w:val="center"/>
            </w:pPr>
          </w:p>
        </w:tc>
        <w:tc>
          <w:tcPr>
            <w:tcW w:w="1276" w:type="dxa"/>
            <w:shd w:val="clear" w:color="auto" w:fill="D0CECE" w:themeFill="background2" w:themeFillShade="E6"/>
          </w:tcPr>
          <w:p w:rsidR="002A177F" w:rsidRPr="00166531" w:rsidRDefault="002A177F" w:rsidP="002A177F">
            <w:pPr>
              <w:jc w:val="center"/>
            </w:pPr>
          </w:p>
        </w:tc>
        <w:tc>
          <w:tcPr>
            <w:tcW w:w="992" w:type="dxa"/>
            <w:shd w:val="clear" w:color="auto" w:fill="D0CECE" w:themeFill="background2" w:themeFillShade="E6"/>
          </w:tcPr>
          <w:p w:rsidR="002A177F" w:rsidRPr="00166531" w:rsidRDefault="002A177F" w:rsidP="002A177F">
            <w:pPr>
              <w:jc w:val="center"/>
            </w:pPr>
          </w:p>
        </w:tc>
        <w:tc>
          <w:tcPr>
            <w:tcW w:w="1337" w:type="dxa"/>
            <w:shd w:val="clear" w:color="auto" w:fill="D0CECE" w:themeFill="background2" w:themeFillShade="E6"/>
          </w:tcPr>
          <w:p w:rsidR="002A177F" w:rsidRPr="00166531" w:rsidRDefault="002A177F" w:rsidP="002A177F">
            <w:pPr>
              <w:jc w:val="center"/>
            </w:pPr>
          </w:p>
        </w:tc>
      </w:tr>
      <w:tr w:rsidR="002A177F" w:rsidTr="004149F6">
        <w:tc>
          <w:tcPr>
            <w:tcW w:w="4815" w:type="dxa"/>
            <w:shd w:val="clear" w:color="auto" w:fill="auto"/>
          </w:tcPr>
          <w:p w:rsidR="002A177F" w:rsidRPr="00166531" w:rsidRDefault="002A177F" w:rsidP="002A177F">
            <w:r w:rsidRPr="00166531">
              <w:t>Visual and Creative Arts</w:t>
            </w:r>
          </w:p>
        </w:tc>
        <w:tc>
          <w:tcPr>
            <w:tcW w:w="992" w:type="dxa"/>
            <w:shd w:val="clear" w:color="auto" w:fill="auto"/>
          </w:tcPr>
          <w:p w:rsidR="002A177F" w:rsidRPr="00166531" w:rsidRDefault="002A177F" w:rsidP="002A177F">
            <w:pPr>
              <w:jc w:val="center"/>
            </w:pPr>
            <w:r w:rsidRPr="00166531">
              <w:t>187</w:t>
            </w:r>
          </w:p>
        </w:tc>
        <w:tc>
          <w:tcPr>
            <w:tcW w:w="1291" w:type="dxa"/>
            <w:shd w:val="clear" w:color="auto" w:fill="auto"/>
          </w:tcPr>
          <w:p w:rsidR="002A177F" w:rsidRPr="00166531" w:rsidRDefault="002A177F" w:rsidP="002A177F">
            <w:pPr>
              <w:jc w:val="center"/>
            </w:pPr>
            <w:r w:rsidRPr="00166531">
              <w:t>66 (35.3%)</w:t>
            </w:r>
          </w:p>
        </w:tc>
        <w:tc>
          <w:tcPr>
            <w:tcW w:w="977" w:type="dxa"/>
            <w:shd w:val="clear" w:color="auto" w:fill="auto"/>
          </w:tcPr>
          <w:p w:rsidR="002A177F" w:rsidRPr="00166531" w:rsidRDefault="002A177F" w:rsidP="002A177F">
            <w:pPr>
              <w:jc w:val="center"/>
            </w:pPr>
            <w:r w:rsidRPr="00166531">
              <w:t>239</w:t>
            </w:r>
          </w:p>
        </w:tc>
        <w:tc>
          <w:tcPr>
            <w:tcW w:w="1306" w:type="dxa"/>
            <w:shd w:val="clear" w:color="auto" w:fill="auto"/>
          </w:tcPr>
          <w:p w:rsidR="002A177F" w:rsidRPr="00166531" w:rsidRDefault="004149F6" w:rsidP="002A177F">
            <w:pPr>
              <w:jc w:val="center"/>
            </w:pPr>
            <w:r w:rsidRPr="00166531">
              <w:t xml:space="preserve">53 </w:t>
            </w:r>
            <w:r w:rsidR="002A177F" w:rsidRPr="00166531">
              <w:t>(</w:t>
            </w:r>
            <w:r w:rsidRPr="00166531">
              <w:t>22.1</w:t>
            </w:r>
            <w:r w:rsidR="002A177F" w:rsidRPr="00166531">
              <w:t>%)</w:t>
            </w:r>
          </w:p>
        </w:tc>
        <w:tc>
          <w:tcPr>
            <w:tcW w:w="962" w:type="dxa"/>
            <w:shd w:val="clear" w:color="auto" w:fill="auto"/>
          </w:tcPr>
          <w:p w:rsidR="002A177F" w:rsidRPr="00166531" w:rsidRDefault="002A177F" w:rsidP="002A177F">
            <w:pPr>
              <w:jc w:val="center"/>
            </w:pPr>
            <w:r w:rsidRPr="00166531">
              <w:t>176</w:t>
            </w:r>
          </w:p>
        </w:tc>
        <w:tc>
          <w:tcPr>
            <w:tcW w:w="1276" w:type="dxa"/>
            <w:shd w:val="clear" w:color="auto" w:fill="auto"/>
          </w:tcPr>
          <w:p w:rsidR="002A177F" w:rsidRPr="00166531" w:rsidRDefault="004149F6" w:rsidP="002A177F">
            <w:pPr>
              <w:jc w:val="center"/>
            </w:pPr>
            <w:r w:rsidRPr="00166531">
              <w:t>37</w:t>
            </w:r>
            <w:r w:rsidR="002A177F" w:rsidRPr="00166531">
              <w:t xml:space="preserve"> (</w:t>
            </w:r>
            <w:r w:rsidRPr="00166531">
              <w:t>21</w:t>
            </w:r>
            <w:r w:rsidR="002A177F" w:rsidRPr="00166531">
              <w:t>%)</w:t>
            </w:r>
          </w:p>
        </w:tc>
        <w:tc>
          <w:tcPr>
            <w:tcW w:w="992" w:type="dxa"/>
            <w:shd w:val="clear" w:color="auto" w:fill="auto"/>
          </w:tcPr>
          <w:p w:rsidR="002A177F" w:rsidRPr="00166531" w:rsidRDefault="002A177F" w:rsidP="002A177F">
            <w:pPr>
              <w:jc w:val="center"/>
            </w:pPr>
            <w:r w:rsidRPr="00166531">
              <w:t>2</w:t>
            </w:r>
          </w:p>
        </w:tc>
        <w:tc>
          <w:tcPr>
            <w:tcW w:w="1337" w:type="dxa"/>
            <w:shd w:val="clear" w:color="auto" w:fill="auto"/>
          </w:tcPr>
          <w:p w:rsidR="002A177F" w:rsidRDefault="002A177F" w:rsidP="002A177F">
            <w:pPr>
              <w:jc w:val="center"/>
            </w:pPr>
            <w:r w:rsidRPr="00166531">
              <w:t>-</w:t>
            </w:r>
          </w:p>
        </w:tc>
      </w:tr>
    </w:tbl>
    <w:p w:rsidR="002B63B4" w:rsidRDefault="002B63B4" w:rsidP="00103A08"/>
    <w:p w:rsidR="002B63B4" w:rsidRDefault="002B63B4" w:rsidP="00103A08"/>
    <w:p w:rsidR="002B63B4" w:rsidRDefault="002B63B4" w:rsidP="00103A08"/>
    <w:p w:rsidR="002B63B4" w:rsidRDefault="002B63B4" w:rsidP="00103A08"/>
    <w:p w:rsidR="002B63B4" w:rsidRDefault="002B63B4" w:rsidP="00103A08"/>
    <w:p w:rsidR="002B63B4" w:rsidRPr="00103A08" w:rsidRDefault="002B63B4" w:rsidP="00103A08"/>
    <w:sectPr w:rsidR="002B63B4" w:rsidRPr="00103A08" w:rsidSect="00103A08">
      <w:pgSz w:w="16838" w:h="11906" w:orient="landscape"/>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2A7" w:rsidRDefault="007612A7" w:rsidP="00074B87">
      <w:pPr>
        <w:spacing w:after="0" w:line="240" w:lineRule="auto"/>
      </w:pPr>
      <w:r>
        <w:separator/>
      </w:r>
    </w:p>
  </w:endnote>
  <w:endnote w:type="continuationSeparator" w:id="0">
    <w:p w:rsidR="007612A7" w:rsidRDefault="007612A7" w:rsidP="00074B87">
      <w:pPr>
        <w:spacing w:after="0" w:line="240" w:lineRule="auto"/>
      </w:pPr>
      <w:r>
        <w:continuationSeparator/>
      </w:r>
    </w:p>
  </w:endnote>
  <w:endnote w:type="continuationNotice" w:id="1">
    <w:p w:rsidR="007612A7" w:rsidRDefault="00761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2A7" w:rsidRDefault="007612A7" w:rsidP="00074B87">
      <w:pPr>
        <w:spacing w:after="0" w:line="240" w:lineRule="auto"/>
      </w:pPr>
      <w:r>
        <w:separator/>
      </w:r>
    </w:p>
  </w:footnote>
  <w:footnote w:type="continuationSeparator" w:id="0">
    <w:p w:rsidR="007612A7" w:rsidRDefault="007612A7" w:rsidP="00074B87">
      <w:pPr>
        <w:spacing w:after="0" w:line="240" w:lineRule="auto"/>
      </w:pPr>
      <w:r>
        <w:continuationSeparator/>
      </w:r>
    </w:p>
  </w:footnote>
  <w:footnote w:type="continuationNotice" w:id="1">
    <w:p w:rsidR="007612A7" w:rsidRDefault="00761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D21" w:rsidRDefault="00D90D21" w:rsidP="00EC47CF">
    <w:pPr>
      <w:pStyle w:val="Header"/>
      <w:jc w:val="center"/>
    </w:pPr>
  </w:p>
  <w:p w:rsidR="00D90D21" w:rsidRDefault="00D90D21" w:rsidP="00BB59FA">
    <w:pPr>
      <w:pStyle w:val="Header"/>
      <w:jc w:val="right"/>
    </w:pPr>
    <w:r>
      <w:rPr>
        <w:noProof/>
      </w:rPr>
      <w:drawing>
        <wp:inline distT="0" distB="0" distL="0" distR="0" wp14:anchorId="3CF07E3D" wp14:editId="7127B709">
          <wp:extent cx="16954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D21" w:rsidRDefault="00D90D21" w:rsidP="005448D5">
    <w:pPr>
      <w:pStyle w:val="Header"/>
      <w:jc w:val="right"/>
    </w:pPr>
    <w:r>
      <w:rPr>
        <w:noProof/>
      </w:rPr>
      <w:drawing>
        <wp:inline distT="0" distB="0" distL="0" distR="0" wp14:anchorId="1BA5BC0C" wp14:editId="402BE1DD">
          <wp:extent cx="1695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127FE"/>
    <w:multiLevelType w:val="multilevel"/>
    <w:tmpl w:val="6A907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066011"/>
    <w:multiLevelType w:val="multilevel"/>
    <w:tmpl w:val="4EA6A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7E7DD1"/>
    <w:multiLevelType w:val="hybridMultilevel"/>
    <w:tmpl w:val="085AD5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F122DCB"/>
    <w:multiLevelType w:val="hybridMultilevel"/>
    <w:tmpl w:val="1088B4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4FC1DC2"/>
    <w:multiLevelType w:val="multilevel"/>
    <w:tmpl w:val="94DA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A583A6B"/>
    <w:multiLevelType w:val="multilevel"/>
    <w:tmpl w:val="9000DED8"/>
    <w:lvl w:ilvl="0">
      <w:start w:val="4"/>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2A6C3C04"/>
    <w:multiLevelType w:val="hybridMultilevel"/>
    <w:tmpl w:val="F880CF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8483B"/>
    <w:multiLevelType w:val="multilevel"/>
    <w:tmpl w:val="776494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3262C4"/>
    <w:multiLevelType w:val="multilevel"/>
    <w:tmpl w:val="6A907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B843DA"/>
    <w:multiLevelType w:val="hybridMultilevel"/>
    <w:tmpl w:val="778C981C"/>
    <w:lvl w:ilvl="0" w:tplc="67E8BB00">
      <w:start w:val="3"/>
      <w:numFmt w:val="decimal"/>
      <w:lvlText w:val="%1"/>
      <w:lvlJc w:val="left"/>
      <w:pPr>
        <w:ind w:left="7166" w:hanging="360"/>
      </w:pPr>
      <w:rPr>
        <w:rFonts w:hint="default"/>
      </w:rPr>
    </w:lvl>
    <w:lvl w:ilvl="1" w:tplc="08090019">
      <w:start w:val="1"/>
      <w:numFmt w:val="lowerLetter"/>
      <w:lvlText w:val="%2."/>
      <w:lvlJc w:val="left"/>
      <w:pPr>
        <w:ind w:left="7886" w:hanging="360"/>
      </w:pPr>
    </w:lvl>
    <w:lvl w:ilvl="2" w:tplc="0809001B">
      <w:start w:val="1"/>
      <w:numFmt w:val="lowerRoman"/>
      <w:lvlText w:val="%3."/>
      <w:lvlJc w:val="right"/>
      <w:pPr>
        <w:ind w:left="8606" w:hanging="180"/>
      </w:pPr>
    </w:lvl>
    <w:lvl w:ilvl="3" w:tplc="0809000F" w:tentative="1">
      <w:start w:val="1"/>
      <w:numFmt w:val="decimal"/>
      <w:lvlText w:val="%4."/>
      <w:lvlJc w:val="left"/>
      <w:pPr>
        <w:ind w:left="9326" w:hanging="360"/>
      </w:pPr>
    </w:lvl>
    <w:lvl w:ilvl="4" w:tplc="08090019" w:tentative="1">
      <w:start w:val="1"/>
      <w:numFmt w:val="lowerLetter"/>
      <w:lvlText w:val="%5."/>
      <w:lvlJc w:val="left"/>
      <w:pPr>
        <w:ind w:left="10046" w:hanging="360"/>
      </w:pPr>
    </w:lvl>
    <w:lvl w:ilvl="5" w:tplc="0809001B" w:tentative="1">
      <w:start w:val="1"/>
      <w:numFmt w:val="lowerRoman"/>
      <w:lvlText w:val="%6."/>
      <w:lvlJc w:val="right"/>
      <w:pPr>
        <w:ind w:left="10766" w:hanging="180"/>
      </w:pPr>
    </w:lvl>
    <w:lvl w:ilvl="6" w:tplc="0809000F" w:tentative="1">
      <w:start w:val="1"/>
      <w:numFmt w:val="decimal"/>
      <w:lvlText w:val="%7."/>
      <w:lvlJc w:val="left"/>
      <w:pPr>
        <w:ind w:left="11486" w:hanging="360"/>
      </w:pPr>
    </w:lvl>
    <w:lvl w:ilvl="7" w:tplc="08090019" w:tentative="1">
      <w:start w:val="1"/>
      <w:numFmt w:val="lowerLetter"/>
      <w:lvlText w:val="%8."/>
      <w:lvlJc w:val="left"/>
      <w:pPr>
        <w:ind w:left="12206" w:hanging="360"/>
      </w:pPr>
    </w:lvl>
    <w:lvl w:ilvl="8" w:tplc="0809001B" w:tentative="1">
      <w:start w:val="1"/>
      <w:numFmt w:val="lowerRoman"/>
      <w:lvlText w:val="%9."/>
      <w:lvlJc w:val="right"/>
      <w:pPr>
        <w:ind w:left="12926" w:hanging="180"/>
      </w:pPr>
    </w:lvl>
  </w:abstractNum>
  <w:abstractNum w:abstractNumId="17" w15:restartNumberingAfterBreak="0">
    <w:nsid w:val="7BC048D6"/>
    <w:multiLevelType w:val="multilevel"/>
    <w:tmpl w:val="F1D87652"/>
    <w:lvl w:ilvl="0">
      <w:start w:val="6"/>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4"/>
  </w:num>
  <w:num w:numId="2">
    <w:abstractNumId w:val="12"/>
  </w:num>
  <w:num w:numId="3">
    <w:abstractNumId w:val="10"/>
  </w:num>
  <w:num w:numId="4">
    <w:abstractNumId w:val="15"/>
  </w:num>
  <w:num w:numId="5">
    <w:abstractNumId w:val="6"/>
  </w:num>
  <w:num w:numId="6">
    <w:abstractNumId w:val="7"/>
  </w:num>
  <w:num w:numId="7">
    <w:abstractNumId w:val="5"/>
  </w:num>
  <w:num w:numId="8">
    <w:abstractNumId w:val="11"/>
  </w:num>
  <w:num w:numId="9">
    <w:abstractNumId w:val="16"/>
  </w:num>
  <w:num w:numId="10">
    <w:abstractNumId w:val="8"/>
  </w:num>
  <w:num w:numId="11">
    <w:abstractNumId w:val="0"/>
  </w:num>
  <w:num w:numId="12">
    <w:abstractNumId w:val="13"/>
  </w:num>
  <w:num w:numId="13">
    <w:abstractNumId w:val="17"/>
  </w:num>
  <w:num w:numId="14">
    <w:abstractNumId w:val="3"/>
  </w:num>
  <w:num w:numId="15">
    <w:abstractNumId w:val="4"/>
  </w:num>
  <w:num w:numId="16">
    <w:abstractNumId w:val="9"/>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0253D"/>
    <w:rsid w:val="000043E7"/>
    <w:rsid w:val="000348F9"/>
    <w:rsid w:val="00047518"/>
    <w:rsid w:val="00074AD9"/>
    <w:rsid w:val="00074B87"/>
    <w:rsid w:val="00090ECE"/>
    <w:rsid w:val="00095C0E"/>
    <w:rsid w:val="000A0D09"/>
    <w:rsid w:val="000A2F32"/>
    <w:rsid w:val="000E0015"/>
    <w:rsid w:val="000E425B"/>
    <w:rsid w:val="000E62D8"/>
    <w:rsid w:val="00103A08"/>
    <w:rsid w:val="001045EF"/>
    <w:rsid w:val="0011040B"/>
    <w:rsid w:val="00113880"/>
    <w:rsid w:val="00125561"/>
    <w:rsid w:val="00126112"/>
    <w:rsid w:val="0014116B"/>
    <w:rsid w:val="0014199B"/>
    <w:rsid w:val="00143B8A"/>
    <w:rsid w:val="00146617"/>
    <w:rsid w:val="001600DD"/>
    <w:rsid w:val="00166531"/>
    <w:rsid w:val="00172B59"/>
    <w:rsid w:val="00177B85"/>
    <w:rsid w:val="00182A5F"/>
    <w:rsid w:val="0019513A"/>
    <w:rsid w:val="001C699B"/>
    <w:rsid w:val="001C785C"/>
    <w:rsid w:val="001D3BDE"/>
    <w:rsid w:val="001D62D9"/>
    <w:rsid w:val="001F32BD"/>
    <w:rsid w:val="0020161E"/>
    <w:rsid w:val="00227D42"/>
    <w:rsid w:val="00232CE7"/>
    <w:rsid w:val="0025786C"/>
    <w:rsid w:val="0029764B"/>
    <w:rsid w:val="002A177F"/>
    <w:rsid w:val="002B63B4"/>
    <w:rsid w:val="002C20CA"/>
    <w:rsid w:val="002C6846"/>
    <w:rsid w:val="002D006F"/>
    <w:rsid w:val="002D07C0"/>
    <w:rsid w:val="002D579A"/>
    <w:rsid w:val="002D61D0"/>
    <w:rsid w:val="00303249"/>
    <w:rsid w:val="003057EC"/>
    <w:rsid w:val="00323FE5"/>
    <w:rsid w:val="003244CE"/>
    <w:rsid w:val="00325CBD"/>
    <w:rsid w:val="00335530"/>
    <w:rsid w:val="003449B0"/>
    <w:rsid w:val="00344C9C"/>
    <w:rsid w:val="00351300"/>
    <w:rsid w:val="00351870"/>
    <w:rsid w:val="003612D6"/>
    <w:rsid w:val="003614AC"/>
    <w:rsid w:val="0036239C"/>
    <w:rsid w:val="00371F4D"/>
    <w:rsid w:val="00380AD7"/>
    <w:rsid w:val="00396B38"/>
    <w:rsid w:val="003A0AAB"/>
    <w:rsid w:val="003A59B8"/>
    <w:rsid w:val="003D20B1"/>
    <w:rsid w:val="003E58C8"/>
    <w:rsid w:val="003E6513"/>
    <w:rsid w:val="003E6F60"/>
    <w:rsid w:val="003F5B57"/>
    <w:rsid w:val="00401ACE"/>
    <w:rsid w:val="004149F6"/>
    <w:rsid w:val="00426EE5"/>
    <w:rsid w:val="00430A25"/>
    <w:rsid w:val="004461A7"/>
    <w:rsid w:val="00476783"/>
    <w:rsid w:val="00491987"/>
    <w:rsid w:val="004A4F9D"/>
    <w:rsid w:val="004A7646"/>
    <w:rsid w:val="004B14C3"/>
    <w:rsid w:val="004B74E0"/>
    <w:rsid w:val="004C4E6C"/>
    <w:rsid w:val="004C7BC6"/>
    <w:rsid w:val="004D5105"/>
    <w:rsid w:val="004F2C8A"/>
    <w:rsid w:val="005045F1"/>
    <w:rsid w:val="005240AE"/>
    <w:rsid w:val="0052657C"/>
    <w:rsid w:val="00534FEB"/>
    <w:rsid w:val="005448D5"/>
    <w:rsid w:val="00555152"/>
    <w:rsid w:val="00564CAD"/>
    <w:rsid w:val="00591553"/>
    <w:rsid w:val="005B1FB5"/>
    <w:rsid w:val="005B69EB"/>
    <w:rsid w:val="005B6F3A"/>
    <w:rsid w:val="005C1EC8"/>
    <w:rsid w:val="005C3328"/>
    <w:rsid w:val="005D139C"/>
    <w:rsid w:val="005D1E5F"/>
    <w:rsid w:val="005D60DD"/>
    <w:rsid w:val="005D7548"/>
    <w:rsid w:val="00603FF8"/>
    <w:rsid w:val="00616E35"/>
    <w:rsid w:val="00626221"/>
    <w:rsid w:val="00664D63"/>
    <w:rsid w:val="006707C7"/>
    <w:rsid w:val="00684C2C"/>
    <w:rsid w:val="006A34E1"/>
    <w:rsid w:val="006B27F5"/>
    <w:rsid w:val="006C1C7D"/>
    <w:rsid w:val="006F302A"/>
    <w:rsid w:val="006F7FEB"/>
    <w:rsid w:val="007061A3"/>
    <w:rsid w:val="00730CC8"/>
    <w:rsid w:val="007413B0"/>
    <w:rsid w:val="0074685C"/>
    <w:rsid w:val="007612A7"/>
    <w:rsid w:val="007753EB"/>
    <w:rsid w:val="007835CB"/>
    <w:rsid w:val="00794B29"/>
    <w:rsid w:val="007A7E55"/>
    <w:rsid w:val="007C2BB1"/>
    <w:rsid w:val="007C538C"/>
    <w:rsid w:val="007E7E29"/>
    <w:rsid w:val="007F000F"/>
    <w:rsid w:val="00805AFC"/>
    <w:rsid w:val="0080723C"/>
    <w:rsid w:val="0082090B"/>
    <w:rsid w:val="00843612"/>
    <w:rsid w:val="00856416"/>
    <w:rsid w:val="00856438"/>
    <w:rsid w:val="0086049E"/>
    <w:rsid w:val="008726FF"/>
    <w:rsid w:val="00875DE9"/>
    <w:rsid w:val="00897023"/>
    <w:rsid w:val="008A7787"/>
    <w:rsid w:val="008D7ECE"/>
    <w:rsid w:val="008F4EAE"/>
    <w:rsid w:val="008F5762"/>
    <w:rsid w:val="00912B4E"/>
    <w:rsid w:val="00916051"/>
    <w:rsid w:val="00923EFF"/>
    <w:rsid w:val="00933242"/>
    <w:rsid w:val="009337A8"/>
    <w:rsid w:val="00947904"/>
    <w:rsid w:val="00990212"/>
    <w:rsid w:val="00994DD8"/>
    <w:rsid w:val="009A6601"/>
    <w:rsid w:val="009C1E01"/>
    <w:rsid w:val="009C696F"/>
    <w:rsid w:val="009C7333"/>
    <w:rsid w:val="009D1FEF"/>
    <w:rsid w:val="009D23BB"/>
    <w:rsid w:val="00A07342"/>
    <w:rsid w:val="00A46CEB"/>
    <w:rsid w:val="00A60B13"/>
    <w:rsid w:val="00A625EF"/>
    <w:rsid w:val="00A76651"/>
    <w:rsid w:val="00A802B5"/>
    <w:rsid w:val="00A81BEE"/>
    <w:rsid w:val="00AA2887"/>
    <w:rsid w:val="00AB778B"/>
    <w:rsid w:val="00AC4129"/>
    <w:rsid w:val="00AD514F"/>
    <w:rsid w:val="00B02669"/>
    <w:rsid w:val="00B211B1"/>
    <w:rsid w:val="00B22993"/>
    <w:rsid w:val="00B22D91"/>
    <w:rsid w:val="00B261A9"/>
    <w:rsid w:val="00B43672"/>
    <w:rsid w:val="00B773AD"/>
    <w:rsid w:val="00B807D8"/>
    <w:rsid w:val="00B84FE0"/>
    <w:rsid w:val="00BB59FA"/>
    <w:rsid w:val="00BB6ADD"/>
    <w:rsid w:val="00BD5789"/>
    <w:rsid w:val="00BE1B26"/>
    <w:rsid w:val="00BE6B3D"/>
    <w:rsid w:val="00C22B33"/>
    <w:rsid w:val="00C42079"/>
    <w:rsid w:val="00C4504B"/>
    <w:rsid w:val="00C47E13"/>
    <w:rsid w:val="00C50809"/>
    <w:rsid w:val="00C559D3"/>
    <w:rsid w:val="00C60216"/>
    <w:rsid w:val="00C615C4"/>
    <w:rsid w:val="00C70397"/>
    <w:rsid w:val="00C779B9"/>
    <w:rsid w:val="00C86025"/>
    <w:rsid w:val="00C951B5"/>
    <w:rsid w:val="00C9571C"/>
    <w:rsid w:val="00CA3AFD"/>
    <w:rsid w:val="00CA58F8"/>
    <w:rsid w:val="00CC1AC8"/>
    <w:rsid w:val="00CC4497"/>
    <w:rsid w:val="00CE1801"/>
    <w:rsid w:val="00CE5438"/>
    <w:rsid w:val="00CE5A1D"/>
    <w:rsid w:val="00CF1DFD"/>
    <w:rsid w:val="00D0003B"/>
    <w:rsid w:val="00D031B7"/>
    <w:rsid w:val="00D14C4D"/>
    <w:rsid w:val="00D210F5"/>
    <w:rsid w:val="00D22A84"/>
    <w:rsid w:val="00D37634"/>
    <w:rsid w:val="00D41429"/>
    <w:rsid w:val="00D60699"/>
    <w:rsid w:val="00D62E79"/>
    <w:rsid w:val="00D64583"/>
    <w:rsid w:val="00D76724"/>
    <w:rsid w:val="00D77BAC"/>
    <w:rsid w:val="00D90D21"/>
    <w:rsid w:val="00D9530B"/>
    <w:rsid w:val="00DA1D50"/>
    <w:rsid w:val="00DA4547"/>
    <w:rsid w:val="00DB443E"/>
    <w:rsid w:val="00DB4B9F"/>
    <w:rsid w:val="00DB6418"/>
    <w:rsid w:val="00DF20FD"/>
    <w:rsid w:val="00E00AB3"/>
    <w:rsid w:val="00E01257"/>
    <w:rsid w:val="00E04C3A"/>
    <w:rsid w:val="00E165F7"/>
    <w:rsid w:val="00E24EEE"/>
    <w:rsid w:val="00E42ED8"/>
    <w:rsid w:val="00E855F3"/>
    <w:rsid w:val="00E93043"/>
    <w:rsid w:val="00E944B5"/>
    <w:rsid w:val="00EA0DC7"/>
    <w:rsid w:val="00EB1B62"/>
    <w:rsid w:val="00EC47CF"/>
    <w:rsid w:val="00EC7445"/>
    <w:rsid w:val="00EC7DCF"/>
    <w:rsid w:val="00ED61E3"/>
    <w:rsid w:val="00EE295C"/>
    <w:rsid w:val="00F05138"/>
    <w:rsid w:val="00F1167F"/>
    <w:rsid w:val="00F15114"/>
    <w:rsid w:val="00F17DBB"/>
    <w:rsid w:val="00F24A7E"/>
    <w:rsid w:val="00F55499"/>
    <w:rsid w:val="00F62FA5"/>
    <w:rsid w:val="00F827A7"/>
    <w:rsid w:val="00F90FB6"/>
    <w:rsid w:val="00F978C3"/>
    <w:rsid w:val="00FA00F1"/>
    <w:rsid w:val="00FA44F3"/>
    <w:rsid w:val="00FC7E07"/>
    <w:rsid w:val="00FD40A5"/>
    <w:rsid w:val="00FD534F"/>
    <w:rsid w:val="00FE4BE1"/>
    <w:rsid w:val="00FE775B"/>
    <w:rsid w:val="00FF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C31C0"/>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561"/>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AFC"/>
    <w:pPr>
      <w:autoSpaceDE w:val="0"/>
      <w:autoSpaceDN w:val="0"/>
      <w:adjustRightInd w:val="0"/>
      <w:spacing w:after="0" w:line="240" w:lineRule="auto"/>
    </w:pPr>
    <w:rPr>
      <w:rFonts w:ascii="Arial" w:hAnsi="Arial" w:cs="Arial"/>
      <w:color w:val="000000"/>
      <w:sz w:val="24"/>
      <w:szCs w:val="24"/>
    </w:rPr>
  </w:style>
  <w:style w:type="table" w:customStyle="1" w:styleId="TableGrid31">
    <w:name w:val="Table Grid31"/>
    <w:basedOn w:val="TableNormal"/>
    <w:next w:val="TableGrid"/>
    <w:uiPriority w:val="39"/>
    <w:rsid w:val="00B7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2B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265776153">
      <w:bodyDiv w:val="1"/>
      <w:marLeft w:val="0"/>
      <w:marRight w:val="0"/>
      <w:marTop w:val="0"/>
      <w:marBottom w:val="0"/>
      <w:divBdr>
        <w:top w:val="none" w:sz="0" w:space="0" w:color="auto"/>
        <w:left w:val="none" w:sz="0" w:space="0" w:color="auto"/>
        <w:bottom w:val="none" w:sz="0" w:space="0" w:color="auto"/>
        <w:right w:val="none" w:sz="0" w:space="0" w:color="auto"/>
      </w:divBdr>
    </w:div>
    <w:div w:id="335109800">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526600078">
      <w:bodyDiv w:val="1"/>
      <w:marLeft w:val="0"/>
      <w:marRight w:val="0"/>
      <w:marTop w:val="0"/>
      <w:marBottom w:val="0"/>
      <w:divBdr>
        <w:top w:val="none" w:sz="0" w:space="0" w:color="auto"/>
        <w:left w:val="none" w:sz="0" w:space="0" w:color="auto"/>
        <w:bottom w:val="none" w:sz="0" w:space="0" w:color="auto"/>
        <w:right w:val="none" w:sz="0" w:space="0" w:color="auto"/>
      </w:divBdr>
    </w:div>
    <w:div w:id="981153692">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319264837">
      <w:bodyDiv w:val="1"/>
      <w:marLeft w:val="0"/>
      <w:marRight w:val="0"/>
      <w:marTop w:val="0"/>
      <w:marBottom w:val="0"/>
      <w:divBdr>
        <w:top w:val="none" w:sz="0" w:space="0" w:color="auto"/>
        <w:left w:val="none" w:sz="0" w:space="0" w:color="auto"/>
        <w:bottom w:val="none" w:sz="0" w:space="0" w:color="auto"/>
        <w:right w:val="none" w:sz="0" w:space="0" w:color="auto"/>
      </w:divBdr>
      <w:divsChild>
        <w:div w:id="600574435">
          <w:marLeft w:val="446"/>
          <w:marRight w:val="0"/>
          <w:marTop w:val="0"/>
          <w:marBottom w:val="0"/>
          <w:divBdr>
            <w:top w:val="none" w:sz="0" w:space="0" w:color="auto"/>
            <w:left w:val="none" w:sz="0" w:space="0" w:color="auto"/>
            <w:bottom w:val="none" w:sz="0" w:space="0" w:color="auto"/>
            <w:right w:val="none" w:sz="0" w:space="0" w:color="auto"/>
          </w:divBdr>
        </w:div>
      </w:divsChild>
    </w:div>
    <w:div w:id="1468476803">
      <w:bodyDiv w:val="1"/>
      <w:marLeft w:val="0"/>
      <w:marRight w:val="0"/>
      <w:marTop w:val="0"/>
      <w:marBottom w:val="0"/>
      <w:divBdr>
        <w:top w:val="none" w:sz="0" w:space="0" w:color="auto"/>
        <w:left w:val="none" w:sz="0" w:space="0" w:color="auto"/>
        <w:bottom w:val="none" w:sz="0" w:space="0" w:color="auto"/>
        <w:right w:val="none" w:sz="0" w:space="0" w:color="auto"/>
      </w:divBdr>
    </w:div>
    <w:div w:id="1583022206">
      <w:bodyDiv w:val="1"/>
      <w:marLeft w:val="0"/>
      <w:marRight w:val="0"/>
      <w:marTop w:val="0"/>
      <w:marBottom w:val="0"/>
      <w:divBdr>
        <w:top w:val="none" w:sz="0" w:space="0" w:color="auto"/>
        <w:left w:val="none" w:sz="0" w:space="0" w:color="auto"/>
        <w:bottom w:val="none" w:sz="0" w:space="0" w:color="auto"/>
        <w:right w:val="none" w:sz="0" w:space="0" w:color="auto"/>
      </w:divBdr>
    </w:div>
    <w:div w:id="1679699544">
      <w:bodyDiv w:val="1"/>
      <w:marLeft w:val="0"/>
      <w:marRight w:val="0"/>
      <w:marTop w:val="0"/>
      <w:marBottom w:val="0"/>
      <w:divBdr>
        <w:top w:val="none" w:sz="0" w:space="0" w:color="auto"/>
        <w:left w:val="none" w:sz="0" w:space="0" w:color="auto"/>
        <w:bottom w:val="none" w:sz="0" w:space="0" w:color="auto"/>
        <w:right w:val="none" w:sz="0" w:space="0" w:color="auto"/>
      </w:divBdr>
    </w:div>
    <w:div w:id="1682128116">
      <w:bodyDiv w:val="1"/>
      <w:marLeft w:val="0"/>
      <w:marRight w:val="0"/>
      <w:marTop w:val="0"/>
      <w:marBottom w:val="0"/>
      <w:divBdr>
        <w:top w:val="none" w:sz="0" w:space="0" w:color="auto"/>
        <w:left w:val="none" w:sz="0" w:space="0" w:color="auto"/>
        <w:bottom w:val="none" w:sz="0" w:space="0" w:color="auto"/>
        <w:right w:val="none" w:sz="0" w:space="0" w:color="auto"/>
      </w:divBdr>
    </w:div>
    <w:div w:id="1814061729">
      <w:bodyDiv w:val="1"/>
      <w:marLeft w:val="0"/>
      <w:marRight w:val="0"/>
      <w:marTop w:val="0"/>
      <w:marBottom w:val="0"/>
      <w:divBdr>
        <w:top w:val="none" w:sz="0" w:space="0" w:color="auto"/>
        <w:left w:val="none" w:sz="0" w:space="0" w:color="auto"/>
        <w:bottom w:val="none" w:sz="0" w:space="0" w:color="auto"/>
        <w:right w:val="none" w:sz="0" w:space="0" w:color="auto"/>
      </w:divBdr>
    </w:div>
    <w:div w:id="1955164270">
      <w:bodyDiv w:val="1"/>
      <w:marLeft w:val="0"/>
      <w:marRight w:val="0"/>
      <w:marTop w:val="0"/>
      <w:marBottom w:val="0"/>
      <w:divBdr>
        <w:top w:val="none" w:sz="0" w:space="0" w:color="auto"/>
        <w:left w:val="none" w:sz="0" w:space="0" w:color="auto"/>
        <w:bottom w:val="none" w:sz="0" w:space="0" w:color="auto"/>
        <w:right w:val="none" w:sz="0" w:space="0" w:color="auto"/>
      </w:divBdr>
    </w:div>
    <w:div w:id="1956250763">
      <w:bodyDiv w:val="1"/>
      <w:marLeft w:val="0"/>
      <w:marRight w:val="0"/>
      <w:marTop w:val="0"/>
      <w:marBottom w:val="0"/>
      <w:divBdr>
        <w:top w:val="none" w:sz="0" w:space="0" w:color="auto"/>
        <w:left w:val="none" w:sz="0" w:space="0" w:color="auto"/>
        <w:bottom w:val="none" w:sz="0" w:space="0" w:color="auto"/>
        <w:right w:val="none" w:sz="0" w:space="0" w:color="auto"/>
      </w:divBdr>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ylebookdirector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2.xml><?xml version="1.0" encoding="utf-8"?>
<ds:datastoreItem xmlns:ds="http://schemas.openxmlformats.org/officeDocument/2006/customXml" ds:itemID="{FA80DCFD-1BBA-4C2E-A3F6-FE18736E6C1B}">
  <ds:schemaRefs>
    <ds:schemaRef ds:uri="http://schemas.microsoft.com/office/2006/metadata/properties"/>
    <ds:schemaRef ds:uri="http://schemas.microsoft.com/office/infopath/2007/PartnerControls"/>
    <ds:schemaRef ds:uri="a6b0a586-1ef6-4ab0-a76d-2a440b27d74e"/>
  </ds:schemaRefs>
</ds:datastoreItem>
</file>

<file path=customXml/itemProps3.xml><?xml version="1.0" encoding="utf-8"?>
<ds:datastoreItem xmlns:ds="http://schemas.openxmlformats.org/officeDocument/2006/customXml" ds:itemID="{DDD14D35-2DAD-4D58-9C29-7901D8D5DD2D}"/>
</file>

<file path=customXml/itemProps4.xml><?xml version="1.0" encoding="utf-8"?>
<ds:datastoreItem xmlns:ds="http://schemas.openxmlformats.org/officeDocument/2006/customXml" ds:itemID="{E4DB0130-F145-4CD1-8B43-ED54FDEB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32400</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Ann Baxter</cp:lastModifiedBy>
  <cp:revision>5</cp:revision>
  <cp:lastPrinted>2024-08-20T10:41:00Z</cp:lastPrinted>
  <dcterms:created xsi:type="dcterms:W3CDTF">2024-08-20T10:40:00Z</dcterms:created>
  <dcterms:modified xsi:type="dcterms:W3CDTF">2024-08-21T14:37:00Z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