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13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43"/>
        <w:gridCol w:w="2339"/>
        <w:gridCol w:w="2334"/>
      </w:tblGrid>
      <w:tr w:rsidR="00A76224" w:rsidRPr="00C9571C" w14:paraId="3FD839F9" w14:textId="77777777" w:rsidTr="00A76224">
        <w:tc>
          <w:tcPr>
            <w:tcW w:w="9067" w:type="dxa"/>
            <w:gridSpan w:val="4"/>
            <w:shd w:val="clear" w:color="auto" w:fill="auto"/>
          </w:tcPr>
          <w:p w14:paraId="78145A46" w14:textId="77777777" w:rsidR="00A76224" w:rsidRPr="00C9571C" w:rsidRDefault="00A76224" w:rsidP="00717E68">
            <w:pPr>
              <w:spacing w:after="0" w:line="240" w:lineRule="auto"/>
              <w:jc w:val="center"/>
              <w:rPr>
                <w:rFonts w:ascii="Calibri" w:eastAsia="Times New Roman" w:hAnsi="Calibri" w:cs="Times New Roman"/>
                <w:b/>
                <w:lang w:eastAsia="en-GB"/>
              </w:rPr>
            </w:pPr>
            <w:r w:rsidRPr="00C9571C">
              <w:rPr>
                <w:rFonts w:ascii="Calibri" w:eastAsia="Times New Roman" w:hAnsi="Calibri" w:cs="Times New Roman"/>
                <w:b/>
                <w:color w:val="FF0000"/>
                <w:lang w:eastAsia="en-GB"/>
              </w:rPr>
              <w:t>FOR DISCUS</w:t>
            </w:r>
            <w:r>
              <w:rPr>
                <w:rFonts w:ascii="Calibri" w:eastAsia="Times New Roman" w:hAnsi="Calibri" w:cs="Times New Roman"/>
                <w:b/>
                <w:color w:val="FF0000"/>
                <w:lang w:eastAsia="en-GB"/>
              </w:rPr>
              <w:t>S</w:t>
            </w:r>
            <w:r w:rsidRPr="00C9571C">
              <w:rPr>
                <w:rFonts w:ascii="Calibri" w:eastAsia="Times New Roman" w:hAnsi="Calibri" w:cs="Times New Roman"/>
                <w:b/>
                <w:color w:val="FF0000"/>
                <w:lang w:eastAsia="en-GB"/>
              </w:rPr>
              <w:t xml:space="preserve">ION/INFORMATION </w:t>
            </w:r>
          </w:p>
        </w:tc>
      </w:tr>
      <w:tr w:rsidR="00A76224" w:rsidRPr="00C9571C" w14:paraId="379281DA" w14:textId="77777777" w:rsidTr="00A76224">
        <w:tc>
          <w:tcPr>
            <w:tcW w:w="9067" w:type="dxa"/>
            <w:gridSpan w:val="4"/>
            <w:shd w:val="clear" w:color="auto" w:fill="auto"/>
          </w:tcPr>
          <w:p w14:paraId="6534D9C0" w14:textId="77777777" w:rsidR="00A76224" w:rsidRPr="00C9571C" w:rsidRDefault="00A76224" w:rsidP="00717E6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 xml:space="preserve">Meeting:                     </w:t>
            </w:r>
            <w:r w:rsidRPr="00C9571C">
              <w:rPr>
                <w:rFonts w:ascii="Calibri" w:eastAsia="Times New Roman" w:hAnsi="Calibri" w:cs="Times New Roman"/>
                <w:b/>
                <w:lang w:eastAsia="en-GB"/>
              </w:rPr>
              <w:t>Curriculum and Student Affairs and Outcome</w:t>
            </w:r>
          </w:p>
        </w:tc>
      </w:tr>
      <w:tr w:rsidR="00A76224" w:rsidRPr="00C9571C" w14:paraId="4B57EE70" w14:textId="77777777" w:rsidTr="00A76224">
        <w:tc>
          <w:tcPr>
            <w:tcW w:w="1951" w:type="dxa"/>
            <w:shd w:val="clear" w:color="auto" w:fill="auto"/>
          </w:tcPr>
          <w:p w14:paraId="0A8C5FA4" w14:textId="77777777" w:rsidR="00A76224" w:rsidRPr="00C9571C" w:rsidRDefault="00A76224" w:rsidP="00717E6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Presented by</w:t>
            </w:r>
          </w:p>
        </w:tc>
        <w:tc>
          <w:tcPr>
            <w:tcW w:w="7116" w:type="dxa"/>
            <w:gridSpan w:val="3"/>
            <w:shd w:val="clear" w:color="auto" w:fill="auto"/>
          </w:tcPr>
          <w:p w14:paraId="463DC914" w14:textId="77777777" w:rsidR="00A76224" w:rsidRPr="00C9571C" w:rsidRDefault="00A76224" w:rsidP="00717E6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Nicola Mulholland</w:t>
            </w:r>
          </w:p>
        </w:tc>
      </w:tr>
      <w:tr w:rsidR="00A76224" w:rsidRPr="00CB277C" w14:paraId="1D3F789C" w14:textId="77777777" w:rsidTr="00A76224">
        <w:tc>
          <w:tcPr>
            <w:tcW w:w="1951" w:type="dxa"/>
            <w:shd w:val="clear" w:color="auto" w:fill="auto"/>
          </w:tcPr>
          <w:p w14:paraId="0763274B" w14:textId="77777777" w:rsidR="00A76224" w:rsidRPr="00C9571C" w:rsidRDefault="00A76224" w:rsidP="00717E6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Author/Contact</w:t>
            </w:r>
          </w:p>
        </w:tc>
        <w:tc>
          <w:tcPr>
            <w:tcW w:w="2443" w:type="dxa"/>
            <w:shd w:val="clear" w:color="auto" w:fill="auto"/>
          </w:tcPr>
          <w:p w14:paraId="01E70B3E" w14:textId="77777777" w:rsidR="00A76224" w:rsidRPr="00C9571C" w:rsidRDefault="00A76224" w:rsidP="00717E6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Nicola Mulholland</w:t>
            </w:r>
          </w:p>
        </w:tc>
        <w:tc>
          <w:tcPr>
            <w:tcW w:w="2339" w:type="dxa"/>
            <w:shd w:val="clear" w:color="auto" w:fill="auto"/>
          </w:tcPr>
          <w:p w14:paraId="17A6F655" w14:textId="77777777" w:rsidR="00A76224" w:rsidRPr="00C9571C" w:rsidRDefault="00A76224" w:rsidP="00717E6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Department / Unit</w:t>
            </w:r>
          </w:p>
        </w:tc>
        <w:tc>
          <w:tcPr>
            <w:tcW w:w="2334" w:type="dxa"/>
            <w:shd w:val="clear" w:color="auto" w:fill="auto"/>
          </w:tcPr>
          <w:p w14:paraId="7B44E62E" w14:textId="77777777" w:rsidR="00A76224" w:rsidRPr="00CB277C" w:rsidRDefault="00A76224" w:rsidP="00717E68">
            <w:pPr>
              <w:spacing w:after="0" w:line="240" w:lineRule="auto"/>
              <w:rPr>
                <w:rFonts w:ascii="Calibri" w:eastAsia="Times New Roman" w:hAnsi="Calibri" w:cs="Times New Roman"/>
                <w:lang w:eastAsia="en-GB"/>
              </w:rPr>
            </w:pPr>
            <w:r w:rsidRPr="00CB277C">
              <w:rPr>
                <w:rFonts w:ascii="Calibri" w:eastAsia="Times New Roman" w:hAnsi="Calibri" w:cs="Times New Roman"/>
                <w:lang w:eastAsia="en-GB"/>
              </w:rPr>
              <w:t>SMT</w:t>
            </w:r>
          </w:p>
        </w:tc>
      </w:tr>
      <w:tr w:rsidR="00A76224" w:rsidRPr="00CB277C" w14:paraId="1385E3E6" w14:textId="77777777" w:rsidTr="00A76224">
        <w:tc>
          <w:tcPr>
            <w:tcW w:w="1951" w:type="dxa"/>
            <w:shd w:val="clear" w:color="auto" w:fill="auto"/>
          </w:tcPr>
          <w:p w14:paraId="2702C2ED" w14:textId="77777777" w:rsidR="00A76224" w:rsidRPr="00C9571C" w:rsidRDefault="00A76224" w:rsidP="00717E6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Date Created</w:t>
            </w:r>
          </w:p>
        </w:tc>
        <w:tc>
          <w:tcPr>
            <w:tcW w:w="2443" w:type="dxa"/>
            <w:shd w:val="clear" w:color="auto" w:fill="auto"/>
          </w:tcPr>
          <w:p w14:paraId="2FFCD82A" w14:textId="77777777" w:rsidR="00A76224" w:rsidRPr="00C9571C" w:rsidRDefault="00A76224" w:rsidP="00717E68">
            <w:pPr>
              <w:spacing w:after="0" w:line="240" w:lineRule="auto"/>
              <w:rPr>
                <w:rFonts w:ascii="Calibri" w:eastAsia="Times New Roman" w:hAnsi="Calibri" w:cs="Arial"/>
                <w:lang w:eastAsia="en-GB"/>
              </w:rPr>
            </w:pPr>
            <w:r>
              <w:rPr>
                <w:rFonts w:ascii="Calibri" w:eastAsia="Times New Roman" w:hAnsi="Calibri" w:cs="Arial"/>
                <w:lang w:eastAsia="en-GB"/>
              </w:rPr>
              <w:t>May</w:t>
            </w:r>
            <w:r w:rsidRPr="00C9571C">
              <w:rPr>
                <w:rFonts w:ascii="Calibri" w:eastAsia="Times New Roman" w:hAnsi="Calibri" w:cs="Arial"/>
                <w:lang w:eastAsia="en-GB"/>
              </w:rPr>
              <w:t xml:space="preserve"> 2024</w:t>
            </w:r>
          </w:p>
        </w:tc>
        <w:tc>
          <w:tcPr>
            <w:tcW w:w="2339" w:type="dxa"/>
            <w:shd w:val="clear" w:color="auto" w:fill="auto"/>
          </w:tcPr>
          <w:p w14:paraId="11FD8379" w14:textId="77777777" w:rsidR="00A76224" w:rsidRPr="00C9571C" w:rsidRDefault="00A76224" w:rsidP="00717E6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Telephone</w:t>
            </w:r>
          </w:p>
        </w:tc>
        <w:tc>
          <w:tcPr>
            <w:tcW w:w="2334" w:type="dxa"/>
            <w:shd w:val="clear" w:color="auto" w:fill="auto"/>
          </w:tcPr>
          <w:p w14:paraId="45A985FC" w14:textId="77777777" w:rsidR="00A76224" w:rsidRPr="00CB277C" w:rsidRDefault="00A76224" w:rsidP="00717E68">
            <w:pPr>
              <w:spacing w:after="0" w:line="240" w:lineRule="auto"/>
              <w:rPr>
                <w:rFonts w:ascii="Calibri" w:eastAsia="Times New Roman" w:hAnsi="Calibri" w:cs="Arial"/>
                <w:lang w:eastAsia="en-GB"/>
              </w:rPr>
            </w:pPr>
            <w:r w:rsidRPr="00CB277C">
              <w:rPr>
                <w:rFonts w:ascii="Calibri" w:eastAsia="Times New Roman" w:hAnsi="Calibri" w:cs="Arial"/>
                <w:lang w:eastAsia="en-GB"/>
              </w:rPr>
              <w:t>2734</w:t>
            </w:r>
          </w:p>
        </w:tc>
      </w:tr>
      <w:tr w:rsidR="00A76224" w:rsidRPr="00C9571C" w14:paraId="2BE55F26" w14:textId="77777777" w:rsidTr="00A76224">
        <w:tc>
          <w:tcPr>
            <w:tcW w:w="1951" w:type="dxa"/>
            <w:shd w:val="clear" w:color="auto" w:fill="auto"/>
          </w:tcPr>
          <w:p w14:paraId="1284AFBF" w14:textId="77777777" w:rsidR="00A76224" w:rsidRPr="00C9571C" w:rsidRDefault="00A76224" w:rsidP="00717E6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Appendices Attached</w:t>
            </w:r>
          </w:p>
        </w:tc>
        <w:tc>
          <w:tcPr>
            <w:tcW w:w="7116" w:type="dxa"/>
            <w:gridSpan w:val="3"/>
            <w:shd w:val="clear" w:color="auto" w:fill="auto"/>
          </w:tcPr>
          <w:p w14:paraId="0756E6EA" w14:textId="77777777" w:rsidR="00A76224" w:rsidRPr="00C9571C" w:rsidRDefault="00A76224" w:rsidP="00717E68">
            <w:pPr>
              <w:rPr>
                <w:rFonts w:ascii="Calibri" w:eastAsia="Times New Roman" w:hAnsi="Calibri" w:cs="Arial"/>
                <w:b/>
                <w:lang w:eastAsia="en-GB"/>
              </w:rPr>
            </w:pPr>
            <w:r w:rsidRPr="00C9571C">
              <w:rPr>
                <w:rFonts w:ascii="Calibri" w:eastAsia="Times New Roman" w:hAnsi="Calibri" w:cs="Arial"/>
                <w:b/>
                <w:lang w:eastAsia="en-GB"/>
              </w:rPr>
              <w:t>Developing the Young Workforce /</w:t>
            </w:r>
            <w:r>
              <w:rPr>
                <w:rFonts w:ascii="Calibri" w:eastAsia="Times New Roman" w:hAnsi="Calibri" w:cs="Arial"/>
                <w:b/>
                <w:lang w:eastAsia="en-GB"/>
              </w:rPr>
              <w:t xml:space="preserve"> </w:t>
            </w:r>
            <w:r w:rsidRPr="00C9571C">
              <w:rPr>
                <w:rFonts w:ascii="Calibri" w:eastAsia="Times New Roman" w:hAnsi="Calibri" w:cs="Arial"/>
                <w:b/>
                <w:lang w:eastAsia="en-GB"/>
              </w:rPr>
              <w:t>School College Partnership</w:t>
            </w:r>
          </w:p>
        </w:tc>
      </w:tr>
    </w:tbl>
    <w:p w14:paraId="197FFADE" w14:textId="77777777" w:rsidR="00CB277C" w:rsidRDefault="00CB277C" w:rsidP="007B48B7">
      <w:pPr>
        <w:spacing w:after="0" w:line="240" w:lineRule="auto"/>
        <w:ind w:left="720"/>
        <w:jc w:val="both"/>
        <w:rPr>
          <w:rFonts w:ascii="Calibri" w:eastAsia="Times New Roman" w:hAnsi="Calibri" w:cs="Arial"/>
          <w:b/>
          <w:lang w:eastAsia="en-GB"/>
        </w:rPr>
      </w:pPr>
    </w:p>
    <w:p w14:paraId="5DC7C3C1" w14:textId="77777777" w:rsidR="00A76224" w:rsidRDefault="00A76224" w:rsidP="007B48B7">
      <w:pPr>
        <w:spacing w:after="0" w:line="240" w:lineRule="auto"/>
        <w:ind w:left="720"/>
        <w:jc w:val="both"/>
        <w:rPr>
          <w:rFonts w:ascii="Calibri" w:eastAsia="Times New Roman" w:hAnsi="Calibri" w:cs="Arial"/>
          <w:b/>
          <w:lang w:eastAsia="en-GB"/>
        </w:rPr>
      </w:pPr>
    </w:p>
    <w:p w14:paraId="53ADAA4A" w14:textId="77777777" w:rsidR="00A76224" w:rsidRDefault="00A76224" w:rsidP="007B48B7">
      <w:pPr>
        <w:spacing w:after="0" w:line="240" w:lineRule="auto"/>
        <w:ind w:left="720"/>
        <w:jc w:val="both"/>
        <w:rPr>
          <w:rFonts w:ascii="Calibri" w:eastAsia="Times New Roman" w:hAnsi="Calibri" w:cs="Arial"/>
          <w:b/>
          <w:lang w:eastAsia="en-GB"/>
        </w:rPr>
      </w:pPr>
    </w:p>
    <w:p w14:paraId="486AB74B" w14:textId="77777777" w:rsidR="00EC47CF" w:rsidRPr="00C9571C" w:rsidRDefault="00EC47CF" w:rsidP="00CB277C">
      <w:pPr>
        <w:numPr>
          <w:ilvl w:val="0"/>
          <w:numId w:val="2"/>
        </w:numPr>
        <w:spacing w:after="0" w:line="240" w:lineRule="auto"/>
        <w:ind w:left="567" w:hanging="567"/>
        <w:jc w:val="both"/>
        <w:rPr>
          <w:rFonts w:ascii="Calibri" w:eastAsia="Times New Roman" w:hAnsi="Calibri" w:cs="Arial"/>
          <w:b/>
          <w:lang w:eastAsia="en-GB"/>
        </w:rPr>
      </w:pPr>
      <w:r w:rsidRPr="00C9571C">
        <w:rPr>
          <w:rFonts w:ascii="Calibri" w:eastAsia="Times New Roman" w:hAnsi="Calibri" w:cs="Arial"/>
          <w:b/>
          <w:lang w:eastAsia="en-GB"/>
        </w:rPr>
        <w:t>PURPOSE</w:t>
      </w:r>
    </w:p>
    <w:p w14:paraId="41068CFE" w14:textId="77777777" w:rsidR="00EC47CF" w:rsidRDefault="007B48B7" w:rsidP="00CB277C">
      <w:pPr>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EC47CF" w:rsidRPr="00C9571C">
        <w:rPr>
          <w:rFonts w:ascii="Calibri" w:eastAsia="Times New Roman" w:hAnsi="Calibri" w:cs="Arial"/>
          <w:lang w:eastAsia="en-GB"/>
        </w:rPr>
        <w:t xml:space="preserve">To update CSAO </w:t>
      </w:r>
      <w:r w:rsidR="005B1FB5" w:rsidRPr="00C9571C">
        <w:rPr>
          <w:rFonts w:ascii="Calibri" w:eastAsia="Times New Roman" w:hAnsi="Calibri" w:cs="Arial"/>
          <w:lang w:eastAsia="en-GB"/>
        </w:rPr>
        <w:t>on the Senior Phase and School Activity.</w:t>
      </w:r>
    </w:p>
    <w:p w14:paraId="335BB076" w14:textId="77777777" w:rsidR="00D4189F" w:rsidRDefault="00D4189F" w:rsidP="00CB277C">
      <w:pPr>
        <w:spacing w:after="0" w:line="240" w:lineRule="auto"/>
        <w:ind w:left="567" w:hanging="567"/>
        <w:jc w:val="both"/>
        <w:rPr>
          <w:rFonts w:ascii="Calibri" w:eastAsia="Times New Roman" w:hAnsi="Calibri" w:cs="Arial"/>
          <w:lang w:eastAsia="en-GB"/>
        </w:rPr>
      </w:pPr>
    </w:p>
    <w:p w14:paraId="5F8D5D95" w14:textId="77777777" w:rsidR="00EC47CF" w:rsidRDefault="00EC47CF" w:rsidP="00CB277C">
      <w:pPr>
        <w:numPr>
          <w:ilvl w:val="0"/>
          <w:numId w:val="2"/>
        </w:numPr>
        <w:spacing w:after="0" w:line="240" w:lineRule="auto"/>
        <w:ind w:left="567" w:hanging="567"/>
        <w:jc w:val="both"/>
        <w:rPr>
          <w:rFonts w:ascii="Calibri" w:eastAsia="Times New Roman" w:hAnsi="Calibri" w:cs="Arial"/>
          <w:b/>
          <w:lang w:eastAsia="en-GB"/>
        </w:rPr>
      </w:pPr>
      <w:r w:rsidRPr="00C9571C">
        <w:rPr>
          <w:rFonts w:ascii="Calibri" w:eastAsia="Times New Roman" w:hAnsi="Calibri" w:cs="Arial"/>
          <w:b/>
          <w:lang w:eastAsia="en-GB"/>
        </w:rPr>
        <w:t>BACKGROUND</w:t>
      </w:r>
    </w:p>
    <w:p w14:paraId="4D4BF83E" w14:textId="77777777" w:rsidR="00734692" w:rsidRDefault="007B48B7" w:rsidP="00CB277C">
      <w:pPr>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734692" w:rsidRPr="00810582">
        <w:rPr>
          <w:rFonts w:ascii="Calibri" w:eastAsia="Times New Roman" w:hAnsi="Calibri" w:cs="Arial"/>
          <w:lang w:eastAsia="en-GB"/>
        </w:rPr>
        <w:t xml:space="preserve">This paper gives a detailed overview of </w:t>
      </w:r>
      <w:r w:rsidR="00810582" w:rsidRPr="00810582">
        <w:rPr>
          <w:rFonts w:ascii="Calibri" w:eastAsia="Times New Roman" w:hAnsi="Calibri" w:cs="Arial"/>
          <w:lang w:eastAsia="en-GB"/>
        </w:rPr>
        <w:t>the core</w:t>
      </w:r>
      <w:r w:rsidR="00734692" w:rsidRPr="00810582">
        <w:rPr>
          <w:rFonts w:ascii="Calibri" w:eastAsia="Times New Roman" w:hAnsi="Calibri" w:cs="Arial"/>
          <w:lang w:eastAsia="en-GB"/>
        </w:rPr>
        <w:t xml:space="preserve"> School-College </w:t>
      </w:r>
      <w:r w:rsidR="00810582" w:rsidRPr="00810582">
        <w:rPr>
          <w:rFonts w:ascii="Calibri" w:eastAsia="Times New Roman" w:hAnsi="Calibri" w:cs="Arial"/>
          <w:lang w:eastAsia="en-GB"/>
        </w:rPr>
        <w:t>Partnership Activity that operates across the college</w:t>
      </w:r>
      <w:r w:rsidR="00CB277C">
        <w:rPr>
          <w:rFonts w:ascii="Calibri" w:eastAsia="Times New Roman" w:hAnsi="Calibri" w:cs="Arial"/>
          <w:lang w:eastAsia="en-GB"/>
        </w:rPr>
        <w:t xml:space="preserve">.  </w:t>
      </w:r>
      <w:r w:rsidR="00810582" w:rsidRPr="00810582">
        <w:rPr>
          <w:rFonts w:ascii="Calibri" w:eastAsia="Times New Roman" w:hAnsi="Calibri" w:cs="Arial"/>
          <w:lang w:eastAsia="en-GB"/>
        </w:rPr>
        <w:t>NCL has worked in partnership with local authorities for a number of years to support young people to engage with vocational education and provide opportunities for these individuals to experience work-based learning in a variety of modes.</w:t>
      </w:r>
    </w:p>
    <w:p w14:paraId="767F3790" w14:textId="77777777" w:rsidR="00D4189F" w:rsidRDefault="00D4189F" w:rsidP="00CB277C">
      <w:pPr>
        <w:spacing w:after="0" w:line="240" w:lineRule="auto"/>
        <w:ind w:left="567" w:hanging="567"/>
        <w:jc w:val="both"/>
        <w:rPr>
          <w:rFonts w:ascii="Calibri" w:eastAsia="Times New Roman" w:hAnsi="Calibri" w:cs="Arial"/>
          <w:lang w:eastAsia="en-GB"/>
        </w:rPr>
      </w:pPr>
    </w:p>
    <w:p w14:paraId="098395BD" w14:textId="77777777" w:rsidR="00EC47CF" w:rsidRPr="00C9571C" w:rsidRDefault="00EC47CF" w:rsidP="00CB277C">
      <w:pPr>
        <w:numPr>
          <w:ilvl w:val="0"/>
          <w:numId w:val="2"/>
        </w:numPr>
        <w:spacing w:after="0" w:line="240" w:lineRule="auto"/>
        <w:ind w:left="567" w:hanging="567"/>
        <w:jc w:val="both"/>
        <w:rPr>
          <w:rFonts w:ascii="Calibri" w:eastAsia="Times New Roman" w:hAnsi="Calibri" w:cs="Arial"/>
          <w:b/>
          <w:lang w:eastAsia="en-GB"/>
        </w:rPr>
      </w:pPr>
      <w:r w:rsidRPr="00C9571C">
        <w:rPr>
          <w:rFonts w:ascii="Calibri" w:eastAsia="Times New Roman" w:hAnsi="Calibri" w:cs="Arial"/>
          <w:b/>
          <w:lang w:eastAsia="en-GB"/>
        </w:rPr>
        <w:t>DETAIL</w:t>
      </w:r>
    </w:p>
    <w:p w14:paraId="1814220B" w14:textId="35B5DF63" w:rsidR="005B1FB5" w:rsidRDefault="007B48B7" w:rsidP="00CB277C">
      <w:pPr>
        <w:pStyle w:val="ListParagraph"/>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0D13C3" w:rsidRPr="000D13C3">
        <w:rPr>
          <w:rFonts w:ascii="Calibri" w:eastAsia="Times New Roman" w:hAnsi="Calibri" w:cs="Arial"/>
          <w:lang w:eastAsia="en-GB"/>
        </w:rPr>
        <w:t>New College Lanarkshire offer</w:t>
      </w:r>
      <w:r w:rsidR="00683CA7">
        <w:rPr>
          <w:rFonts w:ascii="Calibri" w:eastAsia="Times New Roman" w:hAnsi="Calibri" w:cs="Arial"/>
          <w:lang w:eastAsia="en-GB"/>
        </w:rPr>
        <w:t>s</w:t>
      </w:r>
      <w:r w:rsidR="000D13C3" w:rsidRPr="000D13C3">
        <w:rPr>
          <w:rFonts w:ascii="Calibri" w:eastAsia="Times New Roman" w:hAnsi="Calibri" w:cs="Arial"/>
          <w:lang w:eastAsia="en-GB"/>
        </w:rPr>
        <w:t xml:space="preserve"> a varied programme to schools in four Local Authorities: North Lanarkshire, South Lanarkshire, East Dunbartonshire and Falkirk. Our courses range from level 1 to level 7 and cover over</w:t>
      </w:r>
      <w:r w:rsidR="00CB277C">
        <w:rPr>
          <w:rFonts w:ascii="Calibri" w:eastAsia="Times New Roman" w:hAnsi="Calibri" w:cs="Arial"/>
          <w:lang w:eastAsia="en-GB"/>
        </w:rPr>
        <w:t xml:space="preserve"> 33 </w:t>
      </w:r>
      <w:r w:rsidR="000D13C3" w:rsidRPr="000D13C3">
        <w:rPr>
          <w:rFonts w:ascii="Calibri" w:eastAsia="Times New Roman" w:hAnsi="Calibri" w:cs="Arial"/>
          <w:lang w:eastAsia="en-GB"/>
        </w:rPr>
        <w:t>disciplines.</w:t>
      </w:r>
      <w:r w:rsidR="00683CA7">
        <w:rPr>
          <w:rFonts w:ascii="Calibri" w:eastAsia="Times New Roman" w:hAnsi="Calibri" w:cs="Arial"/>
          <w:lang w:eastAsia="en-GB"/>
        </w:rPr>
        <w:t xml:space="preserve"> For AY 23-24 there were</w:t>
      </w:r>
      <w:r w:rsidR="000D13C3" w:rsidRPr="000D13C3">
        <w:rPr>
          <w:rFonts w:ascii="Calibri" w:eastAsia="Times New Roman" w:hAnsi="Calibri" w:cs="Arial"/>
          <w:lang w:eastAsia="en-GB"/>
        </w:rPr>
        <w:t xml:space="preserve"> 1</w:t>
      </w:r>
      <w:r w:rsidR="001F5EAB">
        <w:rPr>
          <w:rFonts w:ascii="Calibri" w:eastAsia="Times New Roman" w:hAnsi="Calibri" w:cs="Arial"/>
          <w:lang w:eastAsia="en-GB"/>
        </w:rPr>
        <w:t>878</w:t>
      </w:r>
      <w:r w:rsidR="000D13C3" w:rsidRPr="000D13C3">
        <w:rPr>
          <w:rFonts w:ascii="Calibri" w:eastAsia="Times New Roman" w:hAnsi="Calibri" w:cs="Arial"/>
          <w:lang w:eastAsia="en-GB"/>
        </w:rPr>
        <w:t xml:space="preserve"> pupils from 1</w:t>
      </w:r>
      <w:r w:rsidR="001F5EAB">
        <w:rPr>
          <w:rFonts w:ascii="Calibri" w:eastAsia="Times New Roman" w:hAnsi="Calibri" w:cs="Arial"/>
          <w:lang w:eastAsia="en-GB"/>
        </w:rPr>
        <w:t>56</w:t>
      </w:r>
      <w:r w:rsidR="000D13C3" w:rsidRPr="000D13C3">
        <w:rPr>
          <w:rFonts w:ascii="Calibri" w:eastAsia="Times New Roman" w:hAnsi="Calibri" w:cs="Arial"/>
          <w:lang w:eastAsia="en-GB"/>
        </w:rPr>
        <w:t xml:space="preserve"> class groups, brin</w:t>
      </w:r>
      <w:r w:rsidR="00CB277C">
        <w:rPr>
          <w:rFonts w:ascii="Calibri" w:eastAsia="Times New Roman" w:hAnsi="Calibri" w:cs="Arial"/>
          <w:lang w:eastAsia="en-GB"/>
        </w:rPr>
        <w:t>g</w:t>
      </w:r>
      <w:r w:rsidR="000D13C3" w:rsidRPr="000D13C3">
        <w:rPr>
          <w:rFonts w:ascii="Calibri" w:eastAsia="Times New Roman" w:hAnsi="Calibri" w:cs="Arial"/>
          <w:lang w:eastAsia="en-GB"/>
        </w:rPr>
        <w:t xml:space="preserve">ing in a total of </w:t>
      </w:r>
      <w:r w:rsidR="00683CA7">
        <w:rPr>
          <w:rFonts w:ascii="Calibri" w:eastAsia="Times New Roman" w:hAnsi="Calibri" w:cs="Arial"/>
          <w:lang w:eastAsia="en-GB"/>
        </w:rPr>
        <w:t>6127</w:t>
      </w:r>
      <w:r w:rsidR="000D13C3" w:rsidRPr="000D13C3">
        <w:rPr>
          <w:rFonts w:ascii="Calibri" w:eastAsia="Times New Roman" w:hAnsi="Calibri" w:cs="Arial"/>
          <w:lang w:eastAsia="en-GB"/>
        </w:rPr>
        <w:t xml:space="preserve"> credits and an estimated separate income of circa £3</w:t>
      </w:r>
      <w:r w:rsidR="00C07271">
        <w:rPr>
          <w:rFonts w:ascii="Calibri" w:eastAsia="Times New Roman" w:hAnsi="Calibri" w:cs="Arial"/>
          <w:lang w:eastAsia="en-GB"/>
        </w:rPr>
        <w:t>68</w:t>
      </w:r>
      <w:r w:rsidR="000D13C3" w:rsidRPr="000D13C3">
        <w:rPr>
          <w:rFonts w:ascii="Calibri" w:eastAsia="Times New Roman" w:hAnsi="Calibri" w:cs="Arial"/>
          <w:lang w:eastAsia="en-GB"/>
        </w:rPr>
        <w:t>k</w:t>
      </w:r>
      <w:r>
        <w:rPr>
          <w:rFonts w:ascii="Calibri" w:eastAsia="Times New Roman" w:hAnsi="Calibri" w:cs="Arial"/>
          <w:lang w:eastAsia="en-GB"/>
        </w:rPr>
        <w:t>.</w:t>
      </w:r>
    </w:p>
    <w:p w14:paraId="576AC42E" w14:textId="77777777" w:rsidR="00D4189F" w:rsidRDefault="00D4189F" w:rsidP="00CB277C">
      <w:pPr>
        <w:pStyle w:val="ListParagraph"/>
        <w:spacing w:after="0" w:line="240" w:lineRule="auto"/>
        <w:ind w:left="567" w:hanging="567"/>
        <w:jc w:val="both"/>
        <w:rPr>
          <w:rFonts w:ascii="Calibri" w:eastAsia="Times New Roman" w:hAnsi="Calibri" w:cs="Arial"/>
          <w:lang w:eastAsia="en-GB"/>
        </w:rPr>
      </w:pPr>
    </w:p>
    <w:p w14:paraId="35F4FDCA" w14:textId="77777777" w:rsidR="00EC47CF" w:rsidRDefault="00EC47CF" w:rsidP="00CB277C">
      <w:pPr>
        <w:numPr>
          <w:ilvl w:val="0"/>
          <w:numId w:val="2"/>
        </w:numPr>
        <w:tabs>
          <w:tab w:val="left" w:pos="709"/>
        </w:tabs>
        <w:spacing w:after="0" w:line="240" w:lineRule="auto"/>
        <w:ind w:left="567" w:hanging="567"/>
        <w:jc w:val="both"/>
        <w:rPr>
          <w:rFonts w:ascii="Calibri" w:eastAsia="Times New Roman" w:hAnsi="Calibri" w:cs="Arial"/>
          <w:b/>
          <w:lang w:eastAsia="en-GB"/>
        </w:rPr>
      </w:pPr>
      <w:r w:rsidRPr="00C9571C">
        <w:rPr>
          <w:rFonts w:ascii="Calibri" w:eastAsia="Times New Roman" w:hAnsi="Calibri" w:cs="Arial"/>
          <w:b/>
          <w:lang w:eastAsia="en-GB"/>
        </w:rPr>
        <w:t>BENEFITS AND OPPORTUNITIES</w:t>
      </w:r>
    </w:p>
    <w:p w14:paraId="12B90980" w14:textId="77777777" w:rsidR="00810582" w:rsidRPr="00810582" w:rsidRDefault="00810582" w:rsidP="00CB277C">
      <w:pPr>
        <w:pStyle w:val="ListParagraph"/>
        <w:numPr>
          <w:ilvl w:val="0"/>
          <w:numId w:val="9"/>
        </w:numPr>
        <w:spacing w:after="0" w:line="240" w:lineRule="auto"/>
        <w:ind w:left="1134" w:hanging="567"/>
        <w:jc w:val="both"/>
        <w:rPr>
          <w:rFonts w:ascii="Calibri" w:eastAsia="Times New Roman" w:hAnsi="Calibri" w:cs="Arial"/>
          <w:lang w:eastAsia="en-GB"/>
        </w:rPr>
      </w:pPr>
      <w:r w:rsidRPr="00810582">
        <w:rPr>
          <w:rFonts w:ascii="Calibri" w:eastAsia="Times New Roman" w:hAnsi="Calibri" w:cs="Arial"/>
          <w:lang w:eastAsia="en-GB"/>
        </w:rPr>
        <w:t>Recruitment to FT college programmes</w:t>
      </w:r>
      <w:r w:rsidR="007B48B7">
        <w:rPr>
          <w:rFonts w:ascii="Calibri" w:eastAsia="Times New Roman" w:hAnsi="Calibri" w:cs="Arial"/>
          <w:lang w:eastAsia="en-GB"/>
        </w:rPr>
        <w:t>.</w:t>
      </w:r>
    </w:p>
    <w:p w14:paraId="5FAE222E" w14:textId="77777777" w:rsidR="00810582" w:rsidRPr="00810582" w:rsidRDefault="00810582" w:rsidP="00CB277C">
      <w:pPr>
        <w:pStyle w:val="ListParagraph"/>
        <w:numPr>
          <w:ilvl w:val="0"/>
          <w:numId w:val="9"/>
        </w:numPr>
        <w:spacing w:after="0" w:line="240" w:lineRule="auto"/>
        <w:ind w:left="1134" w:hanging="567"/>
        <w:jc w:val="both"/>
        <w:rPr>
          <w:rFonts w:ascii="Calibri" w:eastAsia="Times New Roman" w:hAnsi="Calibri" w:cs="Arial"/>
          <w:lang w:eastAsia="en-GB"/>
        </w:rPr>
      </w:pPr>
      <w:r w:rsidRPr="00810582">
        <w:rPr>
          <w:rFonts w:ascii="Calibri" w:eastAsia="Times New Roman" w:hAnsi="Calibri" w:cs="Arial"/>
          <w:lang w:eastAsia="en-GB"/>
        </w:rPr>
        <w:t>Enhanced reputation in our local communities</w:t>
      </w:r>
      <w:r w:rsidR="007B48B7">
        <w:rPr>
          <w:rFonts w:ascii="Calibri" w:eastAsia="Times New Roman" w:hAnsi="Calibri" w:cs="Arial"/>
          <w:lang w:eastAsia="en-GB"/>
        </w:rPr>
        <w:t>.</w:t>
      </w:r>
    </w:p>
    <w:p w14:paraId="36621EC5" w14:textId="77777777" w:rsidR="00810582" w:rsidRPr="00810582" w:rsidRDefault="00810582" w:rsidP="00CB277C">
      <w:pPr>
        <w:pStyle w:val="ListParagraph"/>
        <w:numPr>
          <w:ilvl w:val="0"/>
          <w:numId w:val="9"/>
        </w:numPr>
        <w:spacing w:after="0" w:line="240" w:lineRule="auto"/>
        <w:ind w:left="1134" w:hanging="567"/>
        <w:jc w:val="both"/>
        <w:rPr>
          <w:rFonts w:ascii="Calibri" w:eastAsia="Times New Roman" w:hAnsi="Calibri" w:cs="Arial"/>
          <w:lang w:eastAsia="en-GB"/>
        </w:rPr>
      </w:pPr>
      <w:r w:rsidRPr="00810582">
        <w:rPr>
          <w:rFonts w:ascii="Calibri" w:eastAsia="Times New Roman" w:hAnsi="Calibri" w:cs="Arial"/>
          <w:lang w:eastAsia="en-GB"/>
        </w:rPr>
        <w:t>Fulfilling national agenda obligations</w:t>
      </w:r>
      <w:r w:rsidR="007B48B7">
        <w:rPr>
          <w:rFonts w:ascii="Calibri" w:eastAsia="Times New Roman" w:hAnsi="Calibri" w:cs="Arial"/>
          <w:lang w:eastAsia="en-GB"/>
        </w:rPr>
        <w:t>.</w:t>
      </w:r>
    </w:p>
    <w:p w14:paraId="6D434028" w14:textId="77777777" w:rsidR="00810582" w:rsidRPr="00810582" w:rsidRDefault="00810582" w:rsidP="00CB277C">
      <w:pPr>
        <w:pStyle w:val="ListParagraph"/>
        <w:numPr>
          <w:ilvl w:val="0"/>
          <w:numId w:val="9"/>
        </w:numPr>
        <w:spacing w:after="0" w:line="240" w:lineRule="auto"/>
        <w:ind w:left="1134" w:hanging="567"/>
        <w:jc w:val="both"/>
        <w:rPr>
          <w:rFonts w:ascii="Calibri" w:eastAsia="Times New Roman" w:hAnsi="Calibri" w:cs="Arial"/>
          <w:lang w:eastAsia="en-GB"/>
        </w:rPr>
      </w:pPr>
      <w:r w:rsidRPr="00810582">
        <w:rPr>
          <w:rFonts w:ascii="Calibri" w:eastAsia="Times New Roman" w:hAnsi="Calibri" w:cs="Arial"/>
          <w:lang w:eastAsia="en-GB"/>
        </w:rPr>
        <w:t>Participating in the widening access agenda</w:t>
      </w:r>
      <w:r w:rsidR="007B48B7">
        <w:rPr>
          <w:rFonts w:ascii="Calibri" w:eastAsia="Times New Roman" w:hAnsi="Calibri" w:cs="Arial"/>
          <w:lang w:eastAsia="en-GB"/>
        </w:rPr>
        <w:t>.</w:t>
      </w:r>
    </w:p>
    <w:p w14:paraId="48014181" w14:textId="77777777" w:rsidR="005B1FB5" w:rsidRPr="00C9571C" w:rsidRDefault="005B1FB5" w:rsidP="00CB277C">
      <w:pPr>
        <w:spacing w:after="0" w:line="240" w:lineRule="auto"/>
        <w:ind w:left="567" w:hanging="567"/>
        <w:jc w:val="both"/>
        <w:rPr>
          <w:rFonts w:ascii="Calibri" w:eastAsia="Times New Roman" w:hAnsi="Calibri" w:cs="Arial"/>
          <w:lang w:eastAsia="en-GB"/>
        </w:rPr>
      </w:pPr>
    </w:p>
    <w:p w14:paraId="733ADF2E" w14:textId="77777777" w:rsidR="00EC47CF" w:rsidRPr="00C9571C" w:rsidRDefault="00EC47CF" w:rsidP="00CB277C">
      <w:pPr>
        <w:numPr>
          <w:ilvl w:val="0"/>
          <w:numId w:val="2"/>
        </w:numPr>
        <w:spacing w:after="0" w:line="240" w:lineRule="auto"/>
        <w:ind w:left="567" w:hanging="567"/>
        <w:jc w:val="both"/>
        <w:rPr>
          <w:rFonts w:ascii="Calibri" w:eastAsia="Times New Roman" w:hAnsi="Calibri" w:cs="Arial"/>
          <w:lang w:eastAsia="en-GB"/>
        </w:rPr>
      </w:pPr>
      <w:r w:rsidRPr="00C9571C">
        <w:rPr>
          <w:rFonts w:ascii="Calibri" w:eastAsia="Times New Roman" w:hAnsi="Calibri" w:cs="Arial"/>
          <w:b/>
          <w:lang w:eastAsia="en-GB"/>
        </w:rPr>
        <w:t>STRATEGIC IMPLICATIONS</w:t>
      </w:r>
    </w:p>
    <w:p w14:paraId="3490E870" w14:textId="77777777" w:rsidR="00EC47CF" w:rsidRPr="00C9571C" w:rsidRDefault="007B48B7" w:rsidP="00CB277C">
      <w:pPr>
        <w:spacing w:after="0" w:line="240" w:lineRule="auto"/>
        <w:ind w:left="567" w:hanging="567"/>
        <w:jc w:val="both"/>
        <w:rPr>
          <w:rFonts w:ascii="Calibri" w:eastAsia="Times New Roman" w:hAnsi="Calibri" w:cs="Arial"/>
          <w:sz w:val="16"/>
          <w:szCs w:val="16"/>
          <w:lang w:eastAsia="en-GB"/>
        </w:rPr>
      </w:pPr>
      <w:r>
        <w:rPr>
          <w:rFonts w:ascii="Calibri" w:eastAsia="Times New Roman" w:hAnsi="Calibri" w:cs="Arial"/>
          <w:lang w:eastAsia="en-GB"/>
        </w:rPr>
        <w:tab/>
      </w:r>
      <w:r w:rsidR="00EC47CF" w:rsidRPr="00C9571C">
        <w:rPr>
          <w:rFonts w:ascii="Calibri" w:eastAsia="Times New Roman" w:hAnsi="Calibri" w:cs="Arial"/>
          <w:lang w:eastAsia="en-GB"/>
        </w:rPr>
        <w:t xml:space="preserve">The Board retains an overview of NCL activity in the interests of good governance. </w:t>
      </w:r>
    </w:p>
    <w:p w14:paraId="3631ECED" w14:textId="77777777" w:rsidR="00EC47CF" w:rsidRPr="00C9571C" w:rsidRDefault="00EC47CF" w:rsidP="00CB277C">
      <w:pPr>
        <w:spacing w:after="0" w:line="240" w:lineRule="auto"/>
        <w:ind w:left="567" w:hanging="567"/>
        <w:jc w:val="both"/>
        <w:rPr>
          <w:rFonts w:ascii="Calibri" w:eastAsia="Times New Roman" w:hAnsi="Calibri" w:cs="Arial"/>
          <w:lang w:eastAsia="en-GB"/>
        </w:rPr>
      </w:pPr>
    </w:p>
    <w:p w14:paraId="345B0A94" w14:textId="77777777" w:rsidR="005B1FB5" w:rsidRPr="00C9571C" w:rsidRDefault="00EC47CF" w:rsidP="00CB277C">
      <w:pPr>
        <w:numPr>
          <w:ilvl w:val="0"/>
          <w:numId w:val="2"/>
        </w:numPr>
        <w:spacing w:after="0" w:line="240" w:lineRule="auto"/>
        <w:ind w:left="567" w:right="386" w:hanging="567"/>
        <w:jc w:val="both"/>
        <w:outlineLvl w:val="0"/>
        <w:rPr>
          <w:rFonts w:ascii="Calibri" w:eastAsia="Times New Roman" w:hAnsi="Calibri" w:cs="Arial"/>
          <w:lang w:eastAsia="en-GB"/>
        </w:rPr>
      </w:pPr>
      <w:r w:rsidRPr="00C9571C">
        <w:rPr>
          <w:rFonts w:ascii="Calibri" w:eastAsia="Times New Roman" w:hAnsi="Calibri" w:cs="Arial"/>
          <w:b/>
          <w:lang w:eastAsia="en-GB"/>
        </w:rPr>
        <w:t>RISK</w:t>
      </w:r>
      <w:r w:rsidRPr="00C9571C">
        <w:rPr>
          <w:rFonts w:ascii="Calibri" w:eastAsia="Times New Roman" w:hAnsi="Calibri" w:cs="Arial"/>
          <w:b/>
          <w:lang w:eastAsia="en-GB"/>
        </w:rPr>
        <w:br/>
      </w:r>
      <w:r w:rsidR="005B1FB5" w:rsidRPr="00C9571C">
        <w:rPr>
          <w:rFonts w:ascii="Calibri" w:eastAsia="Times New Roman" w:hAnsi="Calibri" w:cs="Arial"/>
          <w:lang w:eastAsia="en-GB"/>
        </w:rPr>
        <w:t>Pupils will not sustain the course which will lead to low PIs</w:t>
      </w:r>
      <w:r w:rsidR="00D37634">
        <w:rPr>
          <w:rFonts w:ascii="Calibri" w:eastAsia="Times New Roman" w:hAnsi="Calibri" w:cs="Arial"/>
          <w:lang w:eastAsia="en-GB"/>
        </w:rPr>
        <w:t>.</w:t>
      </w:r>
      <w:r w:rsidR="005B1FB5" w:rsidRPr="00C9571C">
        <w:rPr>
          <w:rFonts w:ascii="Calibri" w:eastAsia="Times New Roman" w:hAnsi="Calibri" w:cs="Arial"/>
          <w:lang w:eastAsia="en-GB"/>
        </w:rPr>
        <w:t xml:space="preserve"> </w:t>
      </w:r>
    </w:p>
    <w:p w14:paraId="23B19860" w14:textId="77777777" w:rsidR="005B1FB5" w:rsidRPr="00C9571C" w:rsidRDefault="007B48B7" w:rsidP="00CB277C">
      <w:pPr>
        <w:spacing w:after="0" w:line="240" w:lineRule="auto"/>
        <w:ind w:left="567" w:right="386" w:hanging="567"/>
        <w:jc w:val="both"/>
        <w:outlineLvl w:val="0"/>
        <w:rPr>
          <w:rFonts w:ascii="Calibri" w:eastAsia="Times New Roman" w:hAnsi="Calibri" w:cs="Arial"/>
          <w:lang w:eastAsia="en-GB"/>
        </w:rPr>
      </w:pPr>
      <w:r>
        <w:rPr>
          <w:rFonts w:ascii="Calibri" w:eastAsia="Times New Roman" w:hAnsi="Calibri" w:cs="Arial"/>
          <w:lang w:eastAsia="en-GB"/>
        </w:rPr>
        <w:tab/>
      </w:r>
      <w:r w:rsidR="005B1FB5" w:rsidRPr="00C9571C">
        <w:rPr>
          <w:rFonts w:ascii="Calibri" w:eastAsia="Times New Roman" w:hAnsi="Calibri" w:cs="Arial"/>
          <w:lang w:eastAsia="en-GB"/>
        </w:rPr>
        <w:t>Pupils will not progress on to full time programmes</w:t>
      </w:r>
      <w:r w:rsidR="00D37634">
        <w:rPr>
          <w:rFonts w:ascii="Calibri" w:eastAsia="Times New Roman" w:hAnsi="Calibri" w:cs="Arial"/>
          <w:lang w:eastAsia="en-GB"/>
        </w:rPr>
        <w:t>.</w:t>
      </w:r>
    </w:p>
    <w:p w14:paraId="6F2F4EB9" w14:textId="77777777" w:rsidR="00EC47CF" w:rsidRPr="00C9571C" w:rsidRDefault="007B48B7" w:rsidP="00CB277C">
      <w:pPr>
        <w:spacing w:after="0" w:line="240" w:lineRule="auto"/>
        <w:ind w:left="567" w:right="386" w:hanging="567"/>
        <w:jc w:val="both"/>
        <w:outlineLvl w:val="0"/>
        <w:rPr>
          <w:rFonts w:ascii="Calibri" w:eastAsia="Times New Roman" w:hAnsi="Calibri" w:cs="Arial"/>
          <w:lang w:eastAsia="en-GB"/>
        </w:rPr>
      </w:pPr>
      <w:r>
        <w:rPr>
          <w:rFonts w:ascii="Calibri" w:eastAsia="Times New Roman" w:hAnsi="Calibri" w:cs="Arial"/>
          <w:lang w:eastAsia="en-GB"/>
        </w:rPr>
        <w:tab/>
      </w:r>
      <w:r w:rsidR="005B1FB5" w:rsidRPr="00C9571C">
        <w:rPr>
          <w:rFonts w:ascii="Calibri" w:eastAsia="Times New Roman" w:hAnsi="Calibri" w:cs="Arial"/>
          <w:lang w:eastAsia="en-GB"/>
        </w:rPr>
        <w:t>Pupils do not have the correct entry requirements</w:t>
      </w:r>
      <w:r w:rsidR="00D37634">
        <w:rPr>
          <w:rFonts w:ascii="Calibri" w:eastAsia="Times New Roman" w:hAnsi="Calibri" w:cs="Arial"/>
          <w:lang w:eastAsia="en-GB"/>
        </w:rPr>
        <w:t>.</w:t>
      </w:r>
    </w:p>
    <w:p w14:paraId="04EC03B9" w14:textId="77777777" w:rsidR="00C9571C" w:rsidRPr="00C9571C" w:rsidRDefault="00C9571C" w:rsidP="00CB277C">
      <w:pPr>
        <w:spacing w:after="0" w:line="240" w:lineRule="auto"/>
        <w:ind w:left="567" w:right="386" w:hanging="567"/>
        <w:jc w:val="both"/>
        <w:outlineLvl w:val="0"/>
        <w:rPr>
          <w:rFonts w:ascii="Calibri" w:eastAsia="Times New Roman" w:hAnsi="Calibri" w:cs="Arial"/>
          <w:b/>
          <w:color w:val="000000"/>
          <w:lang w:eastAsia="en-GB"/>
        </w:rPr>
      </w:pPr>
    </w:p>
    <w:p w14:paraId="6D579510" w14:textId="77777777" w:rsidR="00EC47CF" w:rsidRPr="00C9571C" w:rsidRDefault="00EC47CF" w:rsidP="00CB277C">
      <w:pPr>
        <w:numPr>
          <w:ilvl w:val="0"/>
          <w:numId w:val="2"/>
        </w:numPr>
        <w:spacing w:after="0" w:line="240" w:lineRule="auto"/>
        <w:ind w:left="567" w:right="386" w:hanging="567"/>
        <w:jc w:val="both"/>
        <w:outlineLvl w:val="0"/>
        <w:rPr>
          <w:rFonts w:ascii="Calibri" w:eastAsia="Times New Roman" w:hAnsi="Calibri" w:cs="Arial"/>
          <w:b/>
          <w:color w:val="000000"/>
          <w:lang w:eastAsia="en-GB"/>
        </w:rPr>
      </w:pPr>
      <w:r w:rsidRPr="00C9571C">
        <w:rPr>
          <w:rFonts w:ascii="Calibri" w:eastAsia="Times New Roman" w:hAnsi="Calibri" w:cs="Arial"/>
          <w:b/>
          <w:color w:val="000000"/>
          <w:lang w:eastAsia="en-GB"/>
        </w:rPr>
        <w:t>FINANCIAL IMPLICATIONS</w:t>
      </w:r>
    </w:p>
    <w:p w14:paraId="53FE843E" w14:textId="77777777" w:rsidR="00EC47CF" w:rsidRDefault="007B48B7" w:rsidP="00CB277C">
      <w:pPr>
        <w:spacing w:after="0" w:line="240" w:lineRule="auto"/>
        <w:ind w:left="567" w:right="386" w:hanging="567"/>
        <w:jc w:val="both"/>
        <w:rPr>
          <w:rFonts w:ascii="Calibri" w:eastAsia="Times New Roman" w:hAnsi="Calibri" w:cs="Arial"/>
        </w:rPr>
      </w:pPr>
      <w:r>
        <w:rPr>
          <w:rFonts w:ascii="Calibri" w:eastAsia="Times New Roman" w:hAnsi="Calibri" w:cs="Arial"/>
        </w:rPr>
        <w:tab/>
      </w:r>
      <w:r w:rsidR="00C9571C" w:rsidRPr="00C9571C">
        <w:rPr>
          <w:rFonts w:ascii="Calibri" w:eastAsia="Times New Roman" w:hAnsi="Calibri" w:cs="Arial"/>
        </w:rPr>
        <w:t>It is hoped that these courses will be feeder courses for the full</w:t>
      </w:r>
      <w:r w:rsidR="000A0D09">
        <w:rPr>
          <w:rFonts w:ascii="Calibri" w:eastAsia="Times New Roman" w:hAnsi="Calibri" w:cs="Arial"/>
        </w:rPr>
        <w:t>-</w:t>
      </w:r>
      <w:r w:rsidR="00C9571C" w:rsidRPr="00C9571C">
        <w:rPr>
          <w:rFonts w:ascii="Calibri" w:eastAsia="Times New Roman" w:hAnsi="Calibri" w:cs="Arial"/>
        </w:rPr>
        <w:t>time programmes of the</w:t>
      </w:r>
      <w:r w:rsidR="00C9571C">
        <w:rPr>
          <w:rFonts w:ascii="Calibri" w:eastAsia="Times New Roman" w:hAnsi="Calibri" w:cs="Arial"/>
        </w:rPr>
        <w:t xml:space="preserve"> </w:t>
      </w:r>
      <w:r>
        <w:rPr>
          <w:rFonts w:ascii="Calibri" w:eastAsia="Times New Roman" w:hAnsi="Calibri" w:cs="Arial"/>
        </w:rPr>
        <w:t>f</w:t>
      </w:r>
      <w:r w:rsidR="00C9571C" w:rsidRPr="00C9571C">
        <w:rPr>
          <w:rFonts w:ascii="Calibri" w:eastAsia="Times New Roman" w:hAnsi="Calibri" w:cs="Arial"/>
        </w:rPr>
        <w:t>uture</w:t>
      </w:r>
      <w:r w:rsidR="000A0D09">
        <w:rPr>
          <w:rFonts w:ascii="Calibri" w:eastAsia="Times New Roman" w:hAnsi="Calibri" w:cs="Arial"/>
        </w:rPr>
        <w:t>.</w:t>
      </w:r>
    </w:p>
    <w:p w14:paraId="66241B0F" w14:textId="77777777" w:rsidR="000A0D09" w:rsidRPr="005B1FB5" w:rsidRDefault="000A0D09" w:rsidP="00CB277C">
      <w:pPr>
        <w:spacing w:after="0" w:line="240" w:lineRule="auto"/>
        <w:ind w:left="567" w:right="386" w:hanging="567"/>
        <w:jc w:val="both"/>
        <w:rPr>
          <w:rFonts w:ascii="Calibri" w:eastAsia="Times New Roman" w:hAnsi="Calibri" w:cs="Arial"/>
        </w:rPr>
      </w:pPr>
    </w:p>
    <w:p w14:paraId="122EF4CE" w14:textId="77777777" w:rsidR="00EC47CF" w:rsidRPr="005B1FB5" w:rsidRDefault="00EC47CF" w:rsidP="00CB277C">
      <w:pPr>
        <w:numPr>
          <w:ilvl w:val="0"/>
          <w:numId w:val="2"/>
        </w:numPr>
        <w:spacing w:after="0" w:line="240" w:lineRule="auto"/>
        <w:ind w:left="567" w:right="386" w:hanging="567"/>
        <w:jc w:val="both"/>
        <w:outlineLvl w:val="0"/>
        <w:rPr>
          <w:rFonts w:ascii="Calibri" w:eastAsia="Times New Roman" w:hAnsi="Calibri" w:cs="Arial"/>
          <w:b/>
          <w:color w:val="000000"/>
          <w:lang w:eastAsia="en-GB"/>
        </w:rPr>
      </w:pPr>
      <w:r w:rsidRPr="005B1FB5">
        <w:rPr>
          <w:rFonts w:ascii="Calibri" w:eastAsia="Times New Roman" w:hAnsi="Calibri" w:cs="Arial"/>
          <w:b/>
          <w:color w:val="000000"/>
          <w:lang w:eastAsia="en-GB"/>
        </w:rPr>
        <w:t>LEGAL IMPLICATIONS</w:t>
      </w:r>
    </w:p>
    <w:p w14:paraId="2E723AF5" w14:textId="77777777" w:rsidR="00EC47CF" w:rsidRPr="005B1FB5" w:rsidRDefault="007B48B7" w:rsidP="00CB277C">
      <w:pPr>
        <w:spacing w:after="0" w:line="240" w:lineRule="auto"/>
        <w:ind w:left="567" w:right="386" w:hanging="567"/>
        <w:jc w:val="both"/>
        <w:rPr>
          <w:rFonts w:ascii="Calibri" w:eastAsia="Times New Roman" w:hAnsi="Calibri" w:cs="Arial"/>
          <w:sz w:val="16"/>
          <w:szCs w:val="16"/>
          <w:lang w:eastAsia="en-GB"/>
        </w:rPr>
      </w:pPr>
      <w:r>
        <w:rPr>
          <w:rFonts w:ascii="Calibri" w:eastAsia="Times New Roman" w:hAnsi="Calibri" w:cs="Arial"/>
          <w:lang w:eastAsia="en-GB"/>
        </w:rPr>
        <w:tab/>
      </w:r>
      <w:r w:rsidR="00EC47CF" w:rsidRPr="005B1FB5">
        <w:rPr>
          <w:rFonts w:ascii="Calibri" w:eastAsia="Times New Roman" w:hAnsi="Calibri" w:cs="Arial"/>
          <w:lang w:eastAsia="en-GB"/>
        </w:rPr>
        <w:t>There are no legal implications</w:t>
      </w:r>
      <w:r w:rsidR="00FD40A5" w:rsidRPr="005B1FB5">
        <w:rPr>
          <w:rFonts w:ascii="Calibri" w:eastAsia="Times New Roman" w:hAnsi="Calibri" w:cs="Arial"/>
          <w:lang w:eastAsia="en-GB"/>
        </w:rPr>
        <w:t>.</w:t>
      </w:r>
    </w:p>
    <w:p w14:paraId="6F4CA4B7" w14:textId="77777777" w:rsidR="00EC47CF" w:rsidRPr="006707C7" w:rsidRDefault="00EC47CF" w:rsidP="00CB277C">
      <w:pPr>
        <w:spacing w:after="0" w:line="240" w:lineRule="auto"/>
        <w:ind w:left="567" w:right="386" w:hanging="567"/>
        <w:jc w:val="both"/>
        <w:rPr>
          <w:rFonts w:ascii="Calibri" w:eastAsia="Times New Roman" w:hAnsi="Calibri" w:cs="Arial"/>
          <w:highlight w:val="yellow"/>
          <w:lang w:eastAsia="en-GB"/>
        </w:rPr>
      </w:pPr>
    </w:p>
    <w:p w14:paraId="6A57E6E8" w14:textId="77777777" w:rsidR="00EC47CF" w:rsidRPr="005B1FB5" w:rsidRDefault="00EC47CF" w:rsidP="00CB277C">
      <w:pPr>
        <w:numPr>
          <w:ilvl w:val="0"/>
          <w:numId w:val="2"/>
        </w:numPr>
        <w:spacing w:after="0" w:line="240" w:lineRule="auto"/>
        <w:ind w:left="567" w:hanging="567"/>
        <w:jc w:val="both"/>
        <w:rPr>
          <w:rFonts w:ascii="Calibri" w:eastAsia="Times New Roman" w:hAnsi="Calibri" w:cs="Arial"/>
          <w:b/>
        </w:rPr>
      </w:pPr>
      <w:r w:rsidRPr="005B1FB5">
        <w:rPr>
          <w:rFonts w:ascii="Calibri" w:eastAsia="Times New Roman" w:hAnsi="Calibri" w:cs="Arial"/>
          <w:b/>
        </w:rPr>
        <w:t>WORKFORCE IMPLICATIONS</w:t>
      </w:r>
    </w:p>
    <w:p w14:paraId="494237CF" w14:textId="77777777" w:rsidR="005B1FB5" w:rsidRDefault="007B48B7" w:rsidP="00CB277C">
      <w:pPr>
        <w:spacing w:after="0" w:line="240" w:lineRule="auto"/>
        <w:ind w:left="567" w:hanging="567"/>
        <w:jc w:val="both"/>
        <w:rPr>
          <w:rFonts w:ascii="Calibri" w:eastAsia="Times New Roman" w:hAnsi="Calibri" w:cs="Arial"/>
        </w:rPr>
      </w:pPr>
      <w:r>
        <w:rPr>
          <w:rFonts w:ascii="Calibri" w:eastAsia="Times New Roman" w:hAnsi="Calibri" w:cs="Arial"/>
          <w:b/>
        </w:rPr>
        <w:tab/>
      </w:r>
      <w:r w:rsidR="00810582" w:rsidRPr="007B48B7">
        <w:rPr>
          <w:rFonts w:ascii="Calibri" w:eastAsia="Times New Roman" w:hAnsi="Calibri" w:cs="Arial"/>
        </w:rPr>
        <w:t>There are no workforce implications</w:t>
      </w:r>
      <w:r>
        <w:rPr>
          <w:rFonts w:ascii="Calibri" w:eastAsia="Times New Roman" w:hAnsi="Calibri" w:cs="Arial"/>
        </w:rPr>
        <w:t>.</w:t>
      </w:r>
    </w:p>
    <w:p w14:paraId="0C63DEC3" w14:textId="77777777" w:rsidR="00CB277C" w:rsidRPr="007B48B7" w:rsidRDefault="00CB277C" w:rsidP="00CB277C">
      <w:pPr>
        <w:spacing w:after="0" w:line="240" w:lineRule="auto"/>
        <w:ind w:left="567" w:hanging="567"/>
        <w:jc w:val="both"/>
        <w:rPr>
          <w:rFonts w:ascii="Calibri" w:eastAsia="Times New Roman" w:hAnsi="Calibri" w:cs="Arial"/>
        </w:rPr>
      </w:pPr>
    </w:p>
    <w:p w14:paraId="6E659B28" w14:textId="77777777" w:rsidR="00EC47CF" w:rsidRDefault="00EC47CF" w:rsidP="00CB277C">
      <w:pPr>
        <w:numPr>
          <w:ilvl w:val="0"/>
          <w:numId w:val="2"/>
        </w:numPr>
        <w:spacing w:after="0" w:line="240" w:lineRule="auto"/>
        <w:ind w:left="567" w:hanging="567"/>
        <w:jc w:val="both"/>
        <w:rPr>
          <w:rFonts w:ascii="Calibri" w:eastAsia="Times New Roman" w:hAnsi="Calibri" w:cs="Arial"/>
          <w:b/>
        </w:rPr>
      </w:pPr>
      <w:r w:rsidRPr="005B1FB5">
        <w:rPr>
          <w:rFonts w:ascii="Calibri" w:eastAsia="Times New Roman" w:hAnsi="Calibri" w:cs="Arial"/>
          <w:b/>
        </w:rPr>
        <w:lastRenderedPageBreak/>
        <w:t xml:space="preserve">REPUTATIONAL IMPLICATIONS </w:t>
      </w:r>
    </w:p>
    <w:p w14:paraId="4AFE2FD6" w14:textId="77777777" w:rsidR="00810582" w:rsidRPr="00810582" w:rsidRDefault="00810582" w:rsidP="00CB277C">
      <w:pPr>
        <w:spacing w:after="0" w:line="240" w:lineRule="auto"/>
        <w:ind w:left="567"/>
        <w:jc w:val="both"/>
        <w:rPr>
          <w:rFonts w:ascii="Calibri" w:eastAsia="Times New Roman" w:hAnsi="Calibri" w:cs="Arial"/>
        </w:rPr>
      </w:pPr>
      <w:r w:rsidRPr="00810582">
        <w:rPr>
          <w:rFonts w:ascii="Calibri" w:eastAsia="Times New Roman" w:hAnsi="Calibri" w:cs="Arial"/>
        </w:rPr>
        <w:t>Engaging with pupils from our local communities can help to enhance and improve our reputation.</w:t>
      </w:r>
    </w:p>
    <w:p w14:paraId="147E0A93" w14:textId="77777777" w:rsidR="005B1FB5" w:rsidRPr="005B1FB5" w:rsidRDefault="005B1FB5" w:rsidP="00CB277C">
      <w:pPr>
        <w:spacing w:after="0" w:line="240" w:lineRule="auto"/>
        <w:ind w:left="720"/>
        <w:jc w:val="both"/>
        <w:rPr>
          <w:rFonts w:ascii="Calibri" w:eastAsia="Times New Roman" w:hAnsi="Calibri" w:cs="Arial"/>
          <w:b/>
        </w:rPr>
      </w:pPr>
    </w:p>
    <w:p w14:paraId="4268571C" w14:textId="77777777" w:rsidR="00EC47CF" w:rsidRPr="00810582" w:rsidRDefault="00EC47CF" w:rsidP="00CB277C">
      <w:pPr>
        <w:numPr>
          <w:ilvl w:val="0"/>
          <w:numId w:val="2"/>
        </w:numPr>
        <w:spacing w:after="0" w:line="240" w:lineRule="auto"/>
        <w:ind w:left="567" w:hanging="567"/>
        <w:jc w:val="both"/>
        <w:rPr>
          <w:rFonts w:ascii="Calibri" w:eastAsia="Times New Roman" w:hAnsi="Calibri" w:cs="Arial"/>
          <w:b/>
          <w:color w:val="000000"/>
        </w:rPr>
      </w:pPr>
      <w:r w:rsidRPr="005B1FB5">
        <w:rPr>
          <w:rFonts w:ascii="Calibri" w:eastAsia="Times New Roman" w:hAnsi="Calibri" w:cs="Arial"/>
          <w:b/>
        </w:rPr>
        <w:t>EQUALITIES IMPLICATIONS</w:t>
      </w:r>
    </w:p>
    <w:p w14:paraId="37E29F5E" w14:textId="77777777" w:rsidR="00EC47CF" w:rsidRPr="005B1FB5" w:rsidRDefault="00810582" w:rsidP="00A76224">
      <w:pPr>
        <w:spacing w:after="0" w:line="240" w:lineRule="auto"/>
        <w:ind w:left="567"/>
        <w:jc w:val="both"/>
        <w:rPr>
          <w:rFonts w:ascii="Calibri" w:eastAsia="Times New Roman" w:hAnsi="Calibri" w:cs="Arial"/>
          <w:lang w:eastAsia="en-GB"/>
        </w:rPr>
      </w:pPr>
      <w:r w:rsidRPr="00810582">
        <w:rPr>
          <w:rFonts w:ascii="Calibri" w:eastAsia="Times New Roman" w:hAnsi="Calibri" w:cs="Arial"/>
          <w:color w:val="000000"/>
        </w:rPr>
        <w:t>There are equalities implications.</w:t>
      </w:r>
    </w:p>
    <w:tbl>
      <w:tblPr>
        <w:tblpPr w:leftFromText="180" w:rightFromText="180" w:vertAnchor="text" w:horzAnchor="margin" w:tblpY="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9"/>
      </w:tblGrid>
      <w:tr w:rsidR="00EC47CF" w:rsidRPr="00B604D1" w14:paraId="7B25E1F9" w14:textId="77777777" w:rsidTr="005B1FB5">
        <w:tc>
          <w:tcPr>
            <w:tcW w:w="9209" w:type="dxa"/>
          </w:tcPr>
          <w:p w14:paraId="0C08BCF5" w14:textId="77777777" w:rsidR="00EC47CF" w:rsidRPr="005B1FB5" w:rsidRDefault="00EC47CF" w:rsidP="00A76224">
            <w:pPr>
              <w:spacing w:after="0" w:line="240" w:lineRule="auto"/>
              <w:jc w:val="both"/>
              <w:rPr>
                <w:rFonts w:ascii="Calibri" w:eastAsia="Times New Roman" w:hAnsi="Calibri" w:cs="Arial"/>
                <w:b/>
                <w:color w:val="000000"/>
                <w:lang w:eastAsia="en-GB"/>
              </w:rPr>
            </w:pPr>
            <w:r w:rsidRPr="005B1FB5">
              <w:rPr>
                <w:rFonts w:ascii="Calibri" w:eastAsia="Times New Roman" w:hAnsi="Calibri" w:cs="Arial"/>
                <w:b/>
                <w:color w:val="000000"/>
                <w:lang w:eastAsia="en-GB"/>
              </w:rPr>
              <w:t>CONCLUSIONS/RECOMMENDATIONS</w:t>
            </w:r>
          </w:p>
          <w:p w14:paraId="4645B462" w14:textId="77777777" w:rsidR="00EC47CF" w:rsidRPr="00B604D1" w:rsidRDefault="00EC47CF" w:rsidP="00A76224">
            <w:pPr>
              <w:spacing w:after="0" w:line="240" w:lineRule="auto"/>
              <w:jc w:val="both"/>
              <w:rPr>
                <w:rFonts w:ascii="Calibri" w:eastAsia="Times New Roman" w:hAnsi="Calibri" w:cs="Arial"/>
                <w:lang w:eastAsia="en-GB"/>
              </w:rPr>
            </w:pPr>
            <w:r w:rsidRPr="005B1FB5">
              <w:rPr>
                <w:rFonts w:ascii="Calibri" w:eastAsia="Times New Roman" w:hAnsi="Calibri" w:cs="Arial"/>
                <w:color w:val="000000"/>
                <w:lang w:eastAsia="en-GB"/>
              </w:rPr>
              <w:t>CSAO are asked to note the information contained in this report and raise or discuss any issues which may prevent publication.</w:t>
            </w:r>
          </w:p>
        </w:tc>
      </w:tr>
    </w:tbl>
    <w:p w14:paraId="775B0D82" w14:textId="77777777" w:rsidR="006707C7" w:rsidRDefault="00EC47CF" w:rsidP="00A76224">
      <w:pPr>
        <w:pStyle w:val="Heading3"/>
        <w:spacing w:before="0" w:line="240" w:lineRule="auto"/>
        <w:ind w:left="567" w:hanging="567"/>
        <w:rPr>
          <w:b/>
        </w:rPr>
      </w:pPr>
      <w:r>
        <w:rPr>
          <w:rFonts w:eastAsia="Calibri"/>
        </w:rPr>
        <w:br w:type="page"/>
      </w:r>
      <w:r w:rsidR="006707C7" w:rsidRPr="006707C7">
        <w:rPr>
          <w:b/>
        </w:rPr>
        <w:lastRenderedPageBreak/>
        <w:t>1.</w:t>
      </w:r>
      <w:r w:rsidR="006707C7" w:rsidRPr="006707C7">
        <w:rPr>
          <w:b/>
        </w:rPr>
        <w:tab/>
        <w:t>INTRODUCTION</w:t>
      </w:r>
    </w:p>
    <w:p w14:paraId="7B221E66" w14:textId="77777777" w:rsidR="006707C7" w:rsidRDefault="006707C7" w:rsidP="00A76224">
      <w:pPr>
        <w:spacing w:after="0" w:line="240" w:lineRule="auto"/>
      </w:pPr>
    </w:p>
    <w:p w14:paraId="66F517BA" w14:textId="77777777" w:rsidR="006707C7" w:rsidRDefault="006707C7" w:rsidP="00A76224">
      <w:pPr>
        <w:pStyle w:val="ListParagraph"/>
        <w:numPr>
          <w:ilvl w:val="1"/>
          <w:numId w:val="5"/>
        </w:numPr>
        <w:spacing w:after="0" w:line="240" w:lineRule="auto"/>
        <w:ind w:left="567" w:hanging="567"/>
        <w:jc w:val="both"/>
      </w:pPr>
      <w:r>
        <w:t xml:space="preserve">This paper seeks </w:t>
      </w:r>
      <w:r w:rsidR="00D41429">
        <w:t>to</w:t>
      </w:r>
      <w:r>
        <w:t xml:space="preserve"> provide an update on the </w:t>
      </w:r>
      <w:r w:rsidR="000D13C3">
        <w:t xml:space="preserve">School-College Partnership Activity </w:t>
      </w:r>
      <w:r w:rsidR="00D41429" w:rsidRPr="00D41429">
        <w:t>for academic year 202</w:t>
      </w:r>
      <w:r w:rsidR="00D41429">
        <w:t xml:space="preserve">3 </w:t>
      </w:r>
      <w:r w:rsidR="000D13C3">
        <w:t>–</w:t>
      </w:r>
      <w:r w:rsidR="00D41429">
        <w:t xml:space="preserve"> </w:t>
      </w:r>
      <w:r w:rsidR="00D41429" w:rsidRPr="00D41429">
        <w:t>2</w:t>
      </w:r>
      <w:r w:rsidR="00A76224">
        <w:t>02</w:t>
      </w:r>
      <w:r w:rsidR="00D41429">
        <w:t>4</w:t>
      </w:r>
      <w:r w:rsidR="000D13C3">
        <w:t>.</w:t>
      </w:r>
    </w:p>
    <w:p w14:paraId="639C3154" w14:textId="77777777" w:rsidR="00A76224" w:rsidRDefault="00A76224" w:rsidP="00A76224">
      <w:pPr>
        <w:spacing w:after="0" w:line="240" w:lineRule="auto"/>
        <w:jc w:val="both"/>
      </w:pPr>
    </w:p>
    <w:p w14:paraId="7A1D5FE5" w14:textId="77777777" w:rsidR="00A76224" w:rsidRDefault="00A76224" w:rsidP="00A76224">
      <w:pPr>
        <w:spacing w:after="0" w:line="240" w:lineRule="auto"/>
        <w:jc w:val="both"/>
      </w:pPr>
    </w:p>
    <w:p w14:paraId="53F4C21C" w14:textId="44AEB31E" w:rsidR="00177B85" w:rsidRDefault="00D41429" w:rsidP="00A76224">
      <w:pPr>
        <w:pStyle w:val="Heading3"/>
        <w:spacing w:before="0" w:line="240" w:lineRule="auto"/>
        <w:ind w:left="567" w:hanging="567"/>
        <w:rPr>
          <w:b/>
        </w:rPr>
      </w:pPr>
      <w:r w:rsidRPr="00D4189F">
        <w:rPr>
          <w:b/>
        </w:rPr>
        <w:t>2.</w:t>
      </w:r>
      <w:r w:rsidRPr="00D4189F">
        <w:rPr>
          <w:b/>
        </w:rPr>
        <w:tab/>
      </w:r>
      <w:r w:rsidR="00A76224">
        <w:rPr>
          <w:b/>
        </w:rPr>
        <w:t xml:space="preserve">SCHOOL-COLLEGE PARTNERSHIP 2023 – 2024 </w:t>
      </w:r>
      <w:r w:rsidR="00C13590">
        <w:rPr>
          <w:b/>
        </w:rPr>
        <w:t>KPIs</w:t>
      </w:r>
    </w:p>
    <w:p w14:paraId="6FC797FE" w14:textId="77777777" w:rsidR="00A76224" w:rsidRDefault="00A76224" w:rsidP="00A76224">
      <w:pPr>
        <w:spacing w:after="0" w:line="240" w:lineRule="auto"/>
      </w:pPr>
    </w:p>
    <w:p w14:paraId="571ED3B9" w14:textId="77777777" w:rsidR="00C13590" w:rsidRPr="00A76224" w:rsidRDefault="00C5647C" w:rsidP="00A76224">
      <w:pPr>
        <w:pStyle w:val="Heading3"/>
        <w:spacing w:before="0" w:line="240" w:lineRule="auto"/>
        <w:rPr>
          <w:b/>
          <w:color w:val="auto"/>
          <w:sz w:val="22"/>
          <w:szCs w:val="22"/>
        </w:rPr>
      </w:pPr>
      <w:r w:rsidRPr="00A76224">
        <w:rPr>
          <w:b/>
          <w:color w:val="auto"/>
          <w:sz w:val="22"/>
          <w:szCs w:val="22"/>
        </w:rPr>
        <w:t>FE PT</w:t>
      </w:r>
    </w:p>
    <w:tbl>
      <w:tblPr>
        <w:tblStyle w:val="TableGrid"/>
        <w:tblW w:w="0" w:type="auto"/>
        <w:tblLook w:val="04A0" w:firstRow="1" w:lastRow="0" w:firstColumn="1" w:lastColumn="0" w:noHBand="0" w:noVBand="1"/>
      </w:tblPr>
      <w:tblGrid>
        <w:gridCol w:w="2830"/>
        <w:gridCol w:w="2062"/>
        <w:gridCol w:w="2062"/>
        <w:gridCol w:w="2062"/>
      </w:tblGrid>
      <w:tr w:rsidR="00C5647C" w14:paraId="27766259" w14:textId="77777777" w:rsidTr="00A76224">
        <w:tc>
          <w:tcPr>
            <w:tcW w:w="2830" w:type="dxa"/>
            <w:shd w:val="clear" w:color="auto" w:fill="BFBFBF" w:themeFill="background1" w:themeFillShade="BF"/>
          </w:tcPr>
          <w:p w14:paraId="54AD4223" w14:textId="77777777" w:rsidR="00C5647C" w:rsidRDefault="00C5647C" w:rsidP="00C5647C">
            <w:pPr>
              <w:jc w:val="center"/>
            </w:pPr>
          </w:p>
        </w:tc>
        <w:tc>
          <w:tcPr>
            <w:tcW w:w="2062" w:type="dxa"/>
            <w:shd w:val="clear" w:color="auto" w:fill="BFBFBF" w:themeFill="background1" w:themeFillShade="BF"/>
          </w:tcPr>
          <w:p w14:paraId="15CF2211" w14:textId="77777777" w:rsidR="00C5647C" w:rsidRPr="00C5647C" w:rsidRDefault="00C5647C" w:rsidP="00C5647C">
            <w:pPr>
              <w:jc w:val="center"/>
              <w:rPr>
                <w:b/>
              </w:rPr>
            </w:pPr>
            <w:r w:rsidRPr="00C5647C">
              <w:rPr>
                <w:b/>
              </w:rPr>
              <w:t>Number of Pupils</w:t>
            </w:r>
          </w:p>
        </w:tc>
        <w:tc>
          <w:tcPr>
            <w:tcW w:w="2062" w:type="dxa"/>
            <w:shd w:val="clear" w:color="auto" w:fill="BFBFBF" w:themeFill="background1" w:themeFillShade="BF"/>
          </w:tcPr>
          <w:p w14:paraId="465AA87D" w14:textId="77777777" w:rsidR="00C5647C" w:rsidRPr="00C5647C" w:rsidRDefault="00C5647C" w:rsidP="00C5647C">
            <w:pPr>
              <w:jc w:val="center"/>
              <w:rPr>
                <w:b/>
              </w:rPr>
            </w:pPr>
            <w:r w:rsidRPr="00C5647C">
              <w:rPr>
                <w:b/>
              </w:rPr>
              <w:t>Percentage</w:t>
            </w:r>
          </w:p>
        </w:tc>
        <w:tc>
          <w:tcPr>
            <w:tcW w:w="2062" w:type="dxa"/>
            <w:shd w:val="clear" w:color="auto" w:fill="BFBFBF" w:themeFill="background1" w:themeFillShade="BF"/>
          </w:tcPr>
          <w:p w14:paraId="1EFE93BC" w14:textId="77777777" w:rsidR="00C5647C" w:rsidRPr="00C5647C" w:rsidRDefault="00994E39" w:rsidP="00C5647C">
            <w:pPr>
              <w:jc w:val="center"/>
              <w:rPr>
                <w:b/>
              </w:rPr>
            </w:pPr>
            <w:r>
              <w:rPr>
                <w:b/>
              </w:rPr>
              <w:t>2</w:t>
            </w:r>
            <w:r w:rsidR="00A76224">
              <w:rPr>
                <w:b/>
              </w:rPr>
              <w:t>02</w:t>
            </w:r>
            <w:r>
              <w:rPr>
                <w:b/>
              </w:rPr>
              <w:t>2/</w:t>
            </w:r>
            <w:r w:rsidR="00A76224">
              <w:rPr>
                <w:b/>
              </w:rPr>
              <w:t>20</w:t>
            </w:r>
            <w:r>
              <w:rPr>
                <w:b/>
              </w:rPr>
              <w:t>23</w:t>
            </w:r>
          </w:p>
        </w:tc>
      </w:tr>
      <w:tr w:rsidR="00C5647C" w14:paraId="35690FE1" w14:textId="77777777" w:rsidTr="00A76224">
        <w:tc>
          <w:tcPr>
            <w:tcW w:w="2830" w:type="dxa"/>
          </w:tcPr>
          <w:p w14:paraId="03A7BC03" w14:textId="77777777" w:rsidR="00C5647C" w:rsidRDefault="00C5647C" w:rsidP="00C5647C">
            <w:r w:rsidRPr="008A7C5A">
              <w:t>Early Withdrawal</w:t>
            </w:r>
          </w:p>
        </w:tc>
        <w:tc>
          <w:tcPr>
            <w:tcW w:w="2062" w:type="dxa"/>
          </w:tcPr>
          <w:p w14:paraId="54E48419" w14:textId="274303AF" w:rsidR="00C5647C" w:rsidRDefault="00C5647C" w:rsidP="00C5647C">
            <w:pPr>
              <w:jc w:val="center"/>
            </w:pPr>
            <w:r>
              <w:t>1</w:t>
            </w:r>
            <w:r w:rsidR="001F5EAB">
              <w:t>09</w:t>
            </w:r>
          </w:p>
        </w:tc>
        <w:tc>
          <w:tcPr>
            <w:tcW w:w="2062" w:type="dxa"/>
          </w:tcPr>
          <w:p w14:paraId="5DAC9815" w14:textId="67A8D962" w:rsidR="00C5647C" w:rsidRDefault="001F5EAB" w:rsidP="00C5647C">
            <w:pPr>
              <w:jc w:val="center"/>
            </w:pPr>
            <w:r>
              <w:t>8</w:t>
            </w:r>
            <w:r w:rsidR="00C5647C">
              <w:t>%</w:t>
            </w:r>
          </w:p>
        </w:tc>
        <w:tc>
          <w:tcPr>
            <w:tcW w:w="2062" w:type="dxa"/>
          </w:tcPr>
          <w:p w14:paraId="41535823" w14:textId="77777777" w:rsidR="00C5647C" w:rsidRDefault="003A394F" w:rsidP="00C5647C">
            <w:pPr>
              <w:jc w:val="center"/>
            </w:pPr>
            <w:r>
              <w:t>66 (4.83%)</w:t>
            </w:r>
          </w:p>
        </w:tc>
      </w:tr>
      <w:tr w:rsidR="00C5647C" w14:paraId="3AB4364F" w14:textId="77777777" w:rsidTr="00A76224">
        <w:tc>
          <w:tcPr>
            <w:tcW w:w="2830" w:type="dxa"/>
          </w:tcPr>
          <w:p w14:paraId="1A930A6D" w14:textId="77777777" w:rsidR="00C5647C" w:rsidRDefault="00C5647C" w:rsidP="00C5647C">
            <w:r w:rsidRPr="008A7C5A">
              <w:t>Further Withdrawal</w:t>
            </w:r>
          </w:p>
        </w:tc>
        <w:tc>
          <w:tcPr>
            <w:tcW w:w="2062" w:type="dxa"/>
          </w:tcPr>
          <w:p w14:paraId="1603A95A" w14:textId="55D3F585" w:rsidR="00C5647C" w:rsidRDefault="00C5647C" w:rsidP="00C5647C">
            <w:pPr>
              <w:jc w:val="center"/>
            </w:pPr>
            <w:r>
              <w:t>20</w:t>
            </w:r>
            <w:r w:rsidR="001F5EAB">
              <w:t>6</w:t>
            </w:r>
          </w:p>
        </w:tc>
        <w:tc>
          <w:tcPr>
            <w:tcW w:w="2062" w:type="dxa"/>
          </w:tcPr>
          <w:p w14:paraId="2584AC8D" w14:textId="1854D6FA" w:rsidR="00C5647C" w:rsidRDefault="00C5647C" w:rsidP="00C5647C">
            <w:pPr>
              <w:jc w:val="center"/>
            </w:pPr>
            <w:r>
              <w:t>1</w:t>
            </w:r>
            <w:r w:rsidR="001F5EAB">
              <w:t>5.12</w:t>
            </w:r>
            <w:r>
              <w:t>%</w:t>
            </w:r>
          </w:p>
        </w:tc>
        <w:tc>
          <w:tcPr>
            <w:tcW w:w="2062" w:type="dxa"/>
          </w:tcPr>
          <w:p w14:paraId="6DDC624E" w14:textId="77777777" w:rsidR="00C5647C" w:rsidRDefault="003A394F" w:rsidP="00C5647C">
            <w:pPr>
              <w:jc w:val="center"/>
            </w:pPr>
            <w:r>
              <w:t>191 (14%)</w:t>
            </w:r>
          </w:p>
        </w:tc>
      </w:tr>
      <w:tr w:rsidR="00C5647C" w14:paraId="7B949564" w14:textId="77777777" w:rsidTr="00A76224">
        <w:tc>
          <w:tcPr>
            <w:tcW w:w="2830" w:type="dxa"/>
          </w:tcPr>
          <w:p w14:paraId="2E9444CD" w14:textId="77777777" w:rsidR="00C5647C" w:rsidRPr="008A7C5A" w:rsidRDefault="003A394F" w:rsidP="00C5647C">
            <w:r>
              <w:t>Total number of students</w:t>
            </w:r>
          </w:p>
        </w:tc>
        <w:tc>
          <w:tcPr>
            <w:tcW w:w="2062" w:type="dxa"/>
          </w:tcPr>
          <w:p w14:paraId="0920269F" w14:textId="436A033D" w:rsidR="00C5647C" w:rsidRDefault="00C5647C" w:rsidP="00C5647C">
            <w:pPr>
              <w:jc w:val="center"/>
            </w:pPr>
            <w:r>
              <w:t>1</w:t>
            </w:r>
            <w:r w:rsidR="001F5EAB">
              <w:t>822</w:t>
            </w:r>
          </w:p>
        </w:tc>
        <w:tc>
          <w:tcPr>
            <w:tcW w:w="2062" w:type="dxa"/>
          </w:tcPr>
          <w:p w14:paraId="31765371" w14:textId="77777777" w:rsidR="00C5647C" w:rsidRDefault="00C5647C" w:rsidP="00C5647C">
            <w:pPr>
              <w:jc w:val="center"/>
            </w:pPr>
          </w:p>
        </w:tc>
        <w:tc>
          <w:tcPr>
            <w:tcW w:w="2062" w:type="dxa"/>
          </w:tcPr>
          <w:p w14:paraId="236BD9F0" w14:textId="77777777" w:rsidR="00C5647C" w:rsidRDefault="003A394F" w:rsidP="00C5647C">
            <w:pPr>
              <w:jc w:val="center"/>
            </w:pPr>
            <w:r>
              <w:t>1367</w:t>
            </w:r>
          </w:p>
        </w:tc>
      </w:tr>
    </w:tbl>
    <w:p w14:paraId="0E3408EE" w14:textId="77777777" w:rsidR="00C07271" w:rsidRDefault="00C07271" w:rsidP="00A76224">
      <w:pPr>
        <w:spacing w:after="0" w:line="240" w:lineRule="auto"/>
      </w:pPr>
    </w:p>
    <w:p w14:paraId="7D473FA4" w14:textId="697E4394" w:rsidR="00171B85" w:rsidRDefault="00A76224" w:rsidP="00A76224">
      <w:pPr>
        <w:spacing w:after="0" w:line="240" w:lineRule="auto"/>
        <w:jc w:val="both"/>
      </w:pPr>
      <w:r>
        <w:t>T</w:t>
      </w:r>
      <w:r w:rsidR="00C07271" w:rsidRPr="00A76224">
        <w:t>here has been an i</w:t>
      </w:r>
      <w:r w:rsidR="00171B85" w:rsidRPr="00A76224">
        <w:t>ncrease of overall enrolments in 2</w:t>
      </w:r>
      <w:r>
        <w:t>02</w:t>
      </w:r>
      <w:r w:rsidR="00171B85" w:rsidRPr="00A76224">
        <w:t>3/</w:t>
      </w:r>
      <w:r>
        <w:t>20</w:t>
      </w:r>
      <w:r w:rsidR="00171B85" w:rsidRPr="00A76224">
        <w:t xml:space="preserve">24 of </w:t>
      </w:r>
      <w:r w:rsidR="001F5EAB">
        <w:t>455</w:t>
      </w:r>
      <w:r>
        <w:t>.</w:t>
      </w:r>
    </w:p>
    <w:p w14:paraId="316164B9" w14:textId="77777777" w:rsidR="00A76224" w:rsidRPr="00A76224" w:rsidRDefault="00A76224" w:rsidP="00A76224">
      <w:pPr>
        <w:spacing w:after="0" w:line="240" w:lineRule="auto"/>
        <w:jc w:val="both"/>
      </w:pPr>
    </w:p>
    <w:p w14:paraId="0061E7A6" w14:textId="70C64F76" w:rsidR="00171B85" w:rsidRDefault="00C07271" w:rsidP="00A76224">
      <w:pPr>
        <w:spacing w:after="0" w:line="240" w:lineRule="auto"/>
        <w:jc w:val="both"/>
      </w:pPr>
      <w:r w:rsidRPr="00A76224">
        <w:t>There has been an i</w:t>
      </w:r>
      <w:r w:rsidR="00171B85" w:rsidRPr="00A76224">
        <w:t xml:space="preserve">ncrease in </w:t>
      </w:r>
      <w:r w:rsidRPr="00A76224">
        <w:t>e</w:t>
      </w:r>
      <w:r w:rsidR="00171B85" w:rsidRPr="00A76224">
        <w:t xml:space="preserve">arly </w:t>
      </w:r>
      <w:r w:rsidRPr="00A76224">
        <w:t>w</w:t>
      </w:r>
      <w:r w:rsidR="00171B85" w:rsidRPr="00A76224">
        <w:t>ithdrawals in 2</w:t>
      </w:r>
      <w:r w:rsidR="00A76224">
        <w:t>02</w:t>
      </w:r>
      <w:r w:rsidR="00171B85" w:rsidRPr="00A76224">
        <w:t>3/2</w:t>
      </w:r>
      <w:r w:rsidR="00A76224">
        <w:t>02</w:t>
      </w:r>
      <w:r w:rsidR="00171B85" w:rsidRPr="00A76224">
        <w:t xml:space="preserve">4 of </w:t>
      </w:r>
      <w:r w:rsidR="001F5EAB">
        <w:t>43</w:t>
      </w:r>
      <w:r w:rsidR="00FF3A66" w:rsidRPr="00A76224">
        <w:t xml:space="preserve"> pupils</w:t>
      </w:r>
      <w:r w:rsidRPr="00A76224">
        <w:t xml:space="preserve"> and an o</w:t>
      </w:r>
      <w:r w:rsidR="00171B85" w:rsidRPr="00A76224">
        <w:t>verall Credit loss of ~</w:t>
      </w:r>
      <w:r w:rsidR="001F5EAB">
        <w:t>645</w:t>
      </w:r>
      <w:r w:rsidR="00171B85" w:rsidRPr="00A76224">
        <w:t xml:space="preserve">. Some </w:t>
      </w:r>
      <w:r w:rsidRPr="00A76224">
        <w:t>of this credit loss is</w:t>
      </w:r>
      <w:r w:rsidR="00171B85" w:rsidRPr="00A76224">
        <w:t xml:space="preserve"> due to nature of programme, such</w:t>
      </w:r>
      <w:r w:rsidR="00994E39" w:rsidRPr="00A76224">
        <w:t xml:space="preserve"> courses in Access and Progression</w:t>
      </w:r>
      <w:r w:rsidR="00171B85" w:rsidRPr="00A76224">
        <w:t xml:space="preserve">. </w:t>
      </w:r>
      <w:r w:rsidRPr="00A76224">
        <w:t xml:space="preserve">Other areas with high early withdrawals </w:t>
      </w:r>
      <w:r w:rsidR="00171B85" w:rsidRPr="00A76224">
        <w:t xml:space="preserve">Early Learning and Childcare, and courses with </w:t>
      </w:r>
      <w:r w:rsidRPr="00A76224">
        <w:t>Beauty, Aesthetics and Hair Design</w:t>
      </w:r>
      <w:r w:rsidR="00171B85" w:rsidRPr="00A76224">
        <w:t xml:space="preserve">. </w:t>
      </w:r>
    </w:p>
    <w:p w14:paraId="470087FF" w14:textId="77777777" w:rsidR="00A76224" w:rsidRPr="00A76224" w:rsidRDefault="00A76224" w:rsidP="00A76224">
      <w:pPr>
        <w:spacing w:after="0" w:line="240" w:lineRule="auto"/>
        <w:jc w:val="both"/>
      </w:pPr>
    </w:p>
    <w:p w14:paraId="7A6E206B" w14:textId="460ADBF3" w:rsidR="00171B85" w:rsidRDefault="00FF3A66" w:rsidP="00A76224">
      <w:pPr>
        <w:spacing w:after="0" w:line="240" w:lineRule="auto"/>
        <w:jc w:val="both"/>
      </w:pPr>
      <w:r w:rsidRPr="00A76224">
        <w:t>There has been an i</w:t>
      </w:r>
      <w:r w:rsidR="00171B85" w:rsidRPr="00A76224">
        <w:t xml:space="preserve">ncrease of </w:t>
      </w:r>
      <w:r w:rsidRPr="00A76224">
        <w:t>f</w:t>
      </w:r>
      <w:r w:rsidR="00171B85" w:rsidRPr="00A76224">
        <w:t xml:space="preserve">urther </w:t>
      </w:r>
      <w:r w:rsidRPr="00A76224">
        <w:t>w</w:t>
      </w:r>
      <w:r w:rsidR="00171B85" w:rsidRPr="00A76224">
        <w:t>ithdrawals in 2</w:t>
      </w:r>
      <w:r w:rsidR="00A76224">
        <w:t>02</w:t>
      </w:r>
      <w:r w:rsidR="00171B85" w:rsidRPr="00A76224">
        <w:t>3/2</w:t>
      </w:r>
      <w:r w:rsidR="00A76224">
        <w:t>02</w:t>
      </w:r>
      <w:r w:rsidR="00171B85" w:rsidRPr="00A76224">
        <w:t>4 of 11</w:t>
      </w:r>
      <w:r w:rsidRPr="00A76224">
        <w:t xml:space="preserve"> pupils</w:t>
      </w:r>
      <w:r w:rsidR="00171B85" w:rsidRPr="00A76224">
        <w:t xml:space="preserve">. </w:t>
      </w:r>
      <w:r w:rsidR="00994E39" w:rsidRPr="00A76224">
        <w:t>So</w:t>
      </w:r>
      <w:r w:rsidRPr="00A76224">
        <w:t xml:space="preserve">me of these withdrawals are </w:t>
      </w:r>
      <w:r w:rsidR="00994E39" w:rsidRPr="00A76224">
        <w:t xml:space="preserve">due to nature of programme, such courses in Access and Progression. </w:t>
      </w:r>
      <w:r w:rsidRPr="00A76224">
        <w:t>Other a</w:t>
      </w:r>
      <w:r w:rsidR="00994E39" w:rsidRPr="00A76224">
        <w:t>rea</w:t>
      </w:r>
      <w:r w:rsidRPr="00A76224">
        <w:t xml:space="preserve">s </w:t>
      </w:r>
      <w:r w:rsidR="00994E39" w:rsidRPr="00A76224">
        <w:t>of high</w:t>
      </w:r>
      <w:r w:rsidRPr="00A76224">
        <w:t xml:space="preserve"> further withdrawals</w:t>
      </w:r>
      <w:r w:rsidR="00994E39" w:rsidRPr="00A76224">
        <w:t xml:space="preserve"> </w:t>
      </w:r>
      <w:r w:rsidRPr="00A76224">
        <w:t xml:space="preserve">are </w:t>
      </w:r>
      <w:r w:rsidR="001F5EAB">
        <w:t xml:space="preserve">Construction, </w:t>
      </w:r>
      <w:r w:rsidR="00994E39" w:rsidRPr="00A76224">
        <w:t>Early Learning and Childcare, and courses within B</w:t>
      </w:r>
      <w:r w:rsidRPr="00A76224">
        <w:t>eauty, Aesthetics and Hair Design,</w:t>
      </w:r>
      <w:r w:rsidR="00994E39" w:rsidRPr="00A76224">
        <w:t xml:space="preserve"> and Construction.</w:t>
      </w:r>
    </w:p>
    <w:p w14:paraId="6DDEAED7" w14:textId="77777777" w:rsidR="00A76224" w:rsidRDefault="00A76224" w:rsidP="00A76224">
      <w:pPr>
        <w:spacing w:after="0" w:line="240" w:lineRule="auto"/>
        <w:jc w:val="both"/>
      </w:pPr>
    </w:p>
    <w:p w14:paraId="12E6659F" w14:textId="77777777" w:rsidR="00C5647C" w:rsidRPr="00A76224" w:rsidRDefault="00C5647C" w:rsidP="00A76224">
      <w:pPr>
        <w:spacing w:after="0" w:line="240" w:lineRule="auto"/>
        <w:rPr>
          <w:b/>
        </w:rPr>
      </w:pPr>
      <w:r w:rsidRPr="00A76224">
        <w:rPr>
          <w:b/>
        </w:rPr>
        <w:t>HE PT</w:t>
      </w:r>
    </w:p>
    <w:tbl>
      <w:tblPr>
        <w:tblStyle w:val="TableGrid"/>
        <w:tblW w:w="0" w:type="auto"/>
        <w:tblLook w:val="04A0" w:firstRow="1" w:lastRow="0" w:firstColumn="1" w:lastColumn="0" w:noHBand="0" w:noVBand="1"/>
      </w:tblPr>
      <w:tblGrid>
        <w:gridCol w:w="2830"/>
        <w:gridCol w:w="2062"/>
        <w:gridCol w:w="2062"/>
        <w:gridCol w:w="2062"/>
      </w:tblGrid>
      <w:tr w:rsidR="00C5647C" w14:paraId="56AE9E5D" w14:textId="77777777" w:rsidTr="00A76224">
        <w:tc>
          <w:tcPr>
            <w:tcW w:w="2830" w:type="dxa"/>
            <w:shd w:val="clear" w:color="auto" w:fill="BFBFBF" w:themeFill="background1" w:themeFillShade="BF"/>
          </w:tcPr>
          <w:p w14:paraId="2BD52D73" w14:textId="77777777" w:rsidR="00C5647C" w:rsidRDefault="00C5647C" w:rsidP="00C00377">
            <w:pPr>
              <w:jc w:val="center"/>
            </w:pPr>
          </w:p>
        </w:tc>
        <w:tc>
          <w:tcPr>
            <w:tcW w:w="2062" w:type="dxa"/>
            <w:shd w:val="clear" w:color="auto" w:fill="BFBFBF" w:themeFill="background1" w:themeFillShade="BF"/>
          </w:tcPr>
          <w:p w14:paraId="2C3D6075" w14:textId="77777777" w:rsidR="00C5647C" w:rsidRPr="00C5647C" w:rsidRDefault="00C5647C" w:rsidP="00C00377">
            <w:pPr>
              <w:jc w:val="center"/>
              <w:rPr>
                <w:b/>
              </w:rPr>
            </w:pPr>
            <w:r w:rsidRPr="00C5647C">
              <w:rPr>
                <w:b/>
              </w:rPr>
              <w:t>Number of Pupils</w:t>
            </w:r>
          </w:p>
        </w:tc>
        <w:tc>
          <w:tcPr>
            <w:tcW w:w="2062" w:type="dxa"/>
            <w:shd w:val="clear" w:color="auto" w:fill="BFBFBF" w:themeFill="background1" w:themeFillShade="BF"/>
          </w:tcPr>
          <w:p w14:paraId="49AA2D83" w14:textId="77777777" w:rsidR="00C5647C" w:rsidRPr="00C5647C" w:rsidRDefault="00C5647C" w:rsidP="00C00377">
            <w:pPr>
              <w:jc w:val="center"/>
              <w:rPr>
                <w:b/>
              </w:rPr>
            </w:pPr>
            <w:r w:rsidRPr="00C5647C">
              <w:rPr>
                <w:b/>
              </w:rPr>
              <w:t>Percentage</w:t>
            </w:r>
          </w:p>
        </w:tc>
        <w:tc>
          <w:tcPr>
            <w:tcW w:w="2062" w:type="dxa"/>
            <w:shd w:val="clear" w:color="auto" w:fill="BFBFBF" w:themeFill="background1" w:themeFillShade="BF"/>
          </w:tcPr>
          <w:p w14:paraId="20A0DF98" w14:textId="77777777" w:rsidR="00C5647C" w:rsidRPr="00C5647C" w:rsidRDefault="00994E39" w:rsidP="00C00377">
            <w:pPr>
              <w:jc w:val="center"/>
              <w:rPr>
                <w:b/>
              </w:rPr>
            </w:pPr>
            <w:r>
              <w:rPr>
                <w:b/>
              </w:rPr>
              <w:t>22/23</w:t>
            </w:r>
          </w:p>
        </w:tc>
      </w:tr>
      <w:tr w:rsidR="00C5647C" w14:paraId="305AFE01" w14:textId="77777777" w:rsidTr="00A76224">
        <w:tc>
          <w:tcPr>
            <w:tcW w:w="2830" w:type="dxa"/>
          </w:tcPr>
          <w:p w14:paraId="03FE2EF4" w14:textId="77777777" w:rsidR="00C5647C" w:rsidRDefault="00C5647C" w:rsidP="00C00377">
            <w:r w:rsidRPr="008A7C5A">
              <w:t>Early Withdrawal</w:t>
            </w:r>
          </w:p>
        </w:tc>
        <w:tc>
          <w:tcPr>
            <w:tcW w:w="2062" w:type="dxa"/>
          </w:tcPr>
          <w:p w14:paraId="495BFFF6" w14:textId="77777777" w:rsidR="00C5647C" w:rsidRDefault="00C5647C" w:rsidP="00C00377">
            <w:pPr>
              <w:jc w:val="center"/>
            </w:pPr>
            <w:r>
              <w:t>2</w:t>
            </w:r>
          </w:p>
        </w:tc>
        <w:tc>
          <w:tcPr>
            <w:tcW w:w="2062" w:type="dxa"/>
          </w:tcPr>
          <w:p w14:paraId="6977587B" w14:textId="77777777" w:rsidR="00C5647C" w:rsidRDefault="00C5647C" w:rsidP="00C00377">
            <w:pPr>
              <w:jc w:val="center"/>
            </w:pPr>
            <w:r>
              <w:t>3.85%</w:t>
            </w:r>
          </w:p>
        </w:tc>
        <w:tc>
          <w:tcPr>
            <w:tcW w:w="2062" w:type="dxa"/>
          </w:tcPr>
          <w:p w14:paraId="228A57E7" w14:textId="77777777" w:rsidR="00C5647C" w:rsidRDefault="00C5647C" w:rsidP="00C00377">
            <w:pPr>
              <w:jc w:val="center"/>
            </w:pPr>
            <w:r>
              <w:t>2 (7.4%)</w:t>
            </w:r>
          </w:p>
        </w:tc>
      </w:tr>
      <w:tr w:rsidR="00C5647C" w14:paraId="2EA87110" w14:textId="77777777" w:rsidTr="00A76224">
        <w:tc>
          <w:tcPr>
            <w:tcW w:w="2830" w:type="dxa"/>
          </w:tcPr>
          <w:p w14:paraId="2DCF31F9" w14:textId="77777777" w:rsidR="00C5647C" w:rsidRDefault="00C5647C" w:rsidP="00C00377">
            <w:r w:rsidRPr="008A7C5A">
              <w:t>Further Withdrawal</w:t>
            </w:r>
          </w:p>
        </w:tc>
        <w:tc>
          <w:tcPr>
            <w:tcW w:w="2062" w:type="dxa"/>
          </w:tcPr>
          <w:p w14:paraId="00BCED7C" w14:textId="351B625D" w:rsidR="00C5647C" w:rsidRDefault="001F5EAB" w:rsidP="00C00377">
            <w:pPr>
              <w:jc w:val="center"/>
            </w:pPr>
            <w:r>
              <w:t>5</w:t>
            </w:r>
          </w:p>
        </w:tc>
        <w:tc>
          <w:tcPr>
            <w:tcW w:w="2062" w:type="dxa"/>
          </w:tcPr>
          <w:p w14:paraId="6AEF6138" w14:textId="68BFC9C1" w:rsidR="00C5647C" w:rsidRDefault="001F5EAB" w:rsidP="00C00377">
            <w:pPr>
              <w:jc w:val="center"/>
            </w:pPr>
            <w:r>
              <w:t>9.6</w:t>
            </w:r>
            <w:r w:rsidR="00C5647C">
              <w:t>%</w:t>
            </w:r>
          </w:p>
        </w:tc>
        <w:tc>
          <w:tcPr>
            <w:tcW w:w="2062" w:type="dxa"/>
          </w:tcPr>
          <w:p w14:paraId="7C71A3DE" w14:textId="77777777" w:rsidR="00C5647C" w:rsidRDefault="00C5647C" w:rsidP="00C00377">
            <w:pPr>
              <w:jc w:val="center"/>
            </w:pPr>
            <w:r>
              <w:t>1 (3.7%)</w:t>
            </w:r>
          </w:p>
        </w:tc>
      </w:tr>
      <w:tr w:rsidR="00C5647C" w14:paraId="1F94CA8A" w14:textId="77777777" w:rsidTr="00A76224">
        <w:tc>
          <w:tcPr>
            <w:tcW w:w="2830" w:type="dxa"/>
          </w:tcPr>
          <w:p w14:paraId="0F063E91" w14:textId="77777777" w:rsidR="00C5647C" w:rsidRPr="008A7C5A" w:rsidRDefault="003A394F" w:rsidP="00C00377">
            <w:r w:rsidRPr="003A394F">
              <w:t>Total number of students</w:t>
            </w:r>
          </w:p>
        </w:tc>
        <w:tc>
          <w:tcPr>
            <w:tcW w:w="2062" w:type="dxa"/>
          </w:tcPr>
          <w:p w14:paraId="7D9B0CA6" w14:textId="77777777" w:rsidR="00C5647C" w:rsidRDefault="00C5647C" w:rsidP="00C00377">
            <w:pPr>
              <w:jc w:val="center"/>
            </w:pPr>
            <w:r>
              <w:t>52</w:t>
            </w:r>
          </w:p>
        </w:tc>
        <w:tc>
          <w:tcPr>
            <w:tcW w:w="2062" w:type="dxa"/>
          </w:tcPr>
          <w:p w14:paraId="4041438D" w14:textId="77777777" w:rsidR="00C5647C" w:rsidRDefault="00C5647C" w:rsidP="00C00377">
            <w:pPr>
              <w:jc w:val="center"/>
            </w:pPr>
          </w:p>
        </w:tc>
        <w:tc>
          <w:tcPr>
            <w:tcW w:w="2062" w:type="dxa"/>
          </w:tcPr>
          <w:p w14:paraId="22C94CD2" w14:textId="77777777" w:rsidR="00C5647C" w:rsidRDefault="003A394F" w:rsidP="00C00377">
            <w:pPr>
              <w:jc w:val="center"/>
            </w:pPr>
            <w:r>
              <w:t>27</w:t>
            </w:r>
          </w:p>
        </w:tc>
      </w:tr>
    </w:tbl>
    <w:p w14:paraId="2A2AD717" w14:textId="77777777" w:rsidR="00C5647C" w:rsidRDefault="00C5647C" w:rsidP="00A76224">
      <w:pPr>
        <w:spacing w:after="0" w:line="240" w:lineRule="auto"/>
      </w:pPr>
    </w:p>
    <w:p w14:paraId="488A67B8" w14:textId="77777777" w:rsidR="00C5647C" w:rsidRDefault="00FF3A66" w:rsidP="00A76224">
      <w:pPr>
        <w:spacing w:after="0" w:line="240" w:lineRule="auto"/>
        <w:jc w:val="both"/>
      </w:pPr>
      <w:r>
        <w:t>There has been an i</w:t>
      </w:r>
      <w:r w:rsidR="00994E39" w:rsidRPr="00994E39">
        <w:t>ncrease of overall enrolments in 2</w:t>
      </w:r>
      <w:r w:rsidR="00A76224">
        <w:t>02</w:t>
      </w:r>
      <w:r w:rsidR="00994E39" w:rsidRPr="00994E39">
        <w:t>3/2</w:t>
      </w:r>
      <w:r w:rsidR="00A76224">
        <w:t>02</w:t>
      </w:r>
      <w:r w:rsidR="00994E39" w:rsidRPr="00994E39">
        <w:t xml:space="preserve">4 of </w:t>
      </w:r>
      <w:r w:rsidR="00994E39">
        <w:t>25</w:t>
      </w:r>
      <w:r>
        <w:t xml:space="preserve"> pupils.</w:t>
      </w:r>
    </w:p>
    <w:p w14:paraId="00B9D9EF" w14:textId="77777777" w:rsidR="00A76224" w:rsidRDefault="00A76224" w:rsidP="00A76224">
      <w:pPr>
        <w:spacing w:after="0" w:line="240" w:lineRule="auto"/>
        <w:jc w:val="both"/>
      </w:pPr>
    </w:p>
    <w:p w14:paraId="74EA625D" w14:textId="77777777" w:rsidR="00994E39" w:rsidRDefault="00FF3A66" w:rsidP="00A76224">
      <w:pPr>
        <w:spacing w:after="0" w:line="240" w:lineRule="auto"/>
        <w:jc w:val="both"/>
      </w:pPr>
      <w:r>
        <w:t>The n</w:t>
      </w:r>
      <w:r w:rsidR="00994E39">
        <w:t>umber of pupils withdrawing early has stayed the same at 2</w:t>
      </w:r>
      <w:r>
        <w:t xml:space="preserve"> in 2</w:t>
      </w:r>
      <w:r w:rsidR="00A76224">
        <w:t>02</w:t>
      </w:r>
      <w:r>
        <w:t>3/2</w:t>
      </w:r>
      <w:r w:rsidR="00A76224">
        <w:t>02</w:t>
      </w:r>
      <w:r>
        <w:t>4</w:t>
      </w:r>
      <w:r w:rsidR="00A76224">
        <w:t>.</w:t>
      </w:r>
    </w:p>
    <w:p w14:paraId="5ECC80FF" w14:textId="77777777" w:rsidR="00A76224" w:rsidRDefault="00A76224" w:rsidP="00A76224">
      <w:pPr>
        <w:spacing w:after="0" w:line="240" w:lineRule="auto"/>
        <w:jc w:val="both"/>
      </w:pPr>
    </w:p>
    <w:p w14:paraId="667D9BB7" w14:textId="3AA3A726" w:rsidR="00994E39" w:rsidRDefault="00FF3A66" w:rsidP="00A76224">
      <w:pPr>
        <w:spacing w:after="0" w:line="240" w:lineRule="auto"/>
        <w:jc w:val="both"/>
      </w:pPr>
      <w:r>
        <w:t>There has been an i</w:t>
      </w:r>
      <w:r w:rsidR="00994E39" w:rsidRPr="00994E39">
        <w:t xml:space="preserve">ncrease in </w:t>
      </w:r>
      <w:r w:rsidR="00E97D1A">
        <w:t xml:space="preserve">further </w:t>
      </w:r>
      <w:r>
        <w:t>w</w:t>
      </w:r>
      <w:r w:rsidR="00994E39" w:rsidRPr="00994E39">
        <w:t>ithdrawals in 2</w:t>
      </w:r>
      <w:r w:rsidR="00A76224">
        <w:t>02</w:t>
      </w:r>
      <w:r w:rsidR="00994E39" w:rsidRPr="00994E39">
        <w:t>3/</w:t>
      </w:r>
      <w:r w:rsidR="00A76224">
        <w:t>20</w:t>
      </w:r>
      <w:r w:rsidR="00994E39" w:rsidRPr="00994E39">
        <w:t xml:space="preserve">24 of </w:t>
      </w:r>
      <w:r w:rsidR="00AF0E6E">
        <w:t>4</w:t>
      </w:r>
      <w:r>
        <w:t xml:space="preserve"> pupils</w:t>
      </w:r>
      <w:r w:rsidR="00994E39">
        <w:t>.</w:t>
      </w:r>
    </w:p>
    <w:p w14:paraId="33503359" w14:textId="26CEAF4E" w:rsidR="00AF0E6E" w:rsidRDefault="00AF0E6E" w:rsidP="00A76224">
      <w:pPr>
        <w:spacing w:after="0" w:line="240" w:lineRule="auto"/>
        <w:jc w:val="both"/>
      </w:pPr>
    </w:p>
    <w:p w14:paraId="46484A2B" w14:textId="6616D93B" w:rsidR="00AF0E6E" w:rsidRDefault="00AF0E6E" w:rsidP="00A76224">
      <w:pPr>
        <w:spacing w:after="0" w:line="240" w:lineRule="auto"/>
        <w:jc w:val="both"/>
      </w:pPr>
      <w:r>
        <w:t>Overall, we currently have over 1000 results outstanding for our core schools programmes, however the completion of these courses should not be impacted by industrial action as most strike action took place after our core school programmes had finished.</w:t>
      </w:r>
    </w:p>
    <w:p w14:paraId="6072EA1F" w14:textId="338C86DF" w:rsidR="00AF0E6E" w:rsidRDefault="00AF0E6E" w:rsidP="00A76224">
      <w:pPr>
        <w:spacing w:after="0" w:line="240" w:lineRule="auto"/>
        <w:jc w:val="both"/>
      </w:pPr>
    </w:p>
    <w:p w14:paraId="311EEA29" w14:textId="290EC296" w:rsidR="00AF0E6E" w:rsidRDefault="00AF0E6E" w:rsidP="00A76224">
      <w:pPr>
        <w:spacing w:after="0" w:line="240" w:lineRule="auto"/>
        <w:jc w:val="both"/>
      </w:pPr>
    </w:p>
    <w:p w14:paraId="7BCB9697" w14:textId="77777777" w:rsidR="00A76224" w:rsidRDefault="00A76224" w:rsidP="00A76224">
      <w:pPr>
        <w:spacing w:after="0" w:line="240" w:lineRule="auto"/>
        <w:jc w:val="both"/>
      </w:pPr>
    </w:p>
    <w:p w14:paraId="1C502B9C" w14:textId="77777777" w:rsidR="00A76224" w:rsidRDefault="00A76224" w:rsidP="00A76224">
      <w:pPr>
        <w:spacing w:after="0" w:line="240" w:lineRule="auto"/>
        <w:jc w:val="both"/>
      </w:pPr>
    </w:p>
    <w:p w14:paraId="4AA5B732" w14:textId="77777777" w:rsidR="00A76224" w:rsidRDefault="00A76224" w:rsidP="00A76224">
      <w:pPr>
        <w:spacing w:after="0" w:line="240" w:lineRule="auto"/>
        <w:jc w:val="both"/>
      </w:pPr>
    </w:p>
    <w:p w14:paraId="5271C37E" w14:textId="77777777" w:rsidR="00A76224" w:rsidRDefault="00A76224">
      <w:r>
        <w:br w:type="page"/>
      </w:r>
    </w:p>
    <w:p w14:paraId="716599CE" w14:textId="77777777" w:rsidR="0064602E" w:rsidRDefault="00A76224" w:rsidP="0064602E">
      <w:pPr>
        <w:pStyle w:val="Heading3"/>
        <w:spacing w:before="0" w:line="240" w:lineRule="auto"/>
        <w:ind w:left="567" w:hanging="567"/>
        <w:rPr>
          <w:b/>
        </w:rPr>
      </w:pPr>
      <w:r>
        <w:rPr>
          <w:b/>
        </w:rPr>
        <w:lastRenderedPageBreak/>
        <w:t>3</w:t>
      </w:r>
      <w:r w:rsidRPr="00D4189F">
        <w:rPr>
          <w:b/>
        </w:rPr>
        <w:t>.</w:t>
      </w:r>
      <w:r w:rsidRPr="00D4189F">
        <w:rPr>
          <w:b/>
        </w:rPr>
        <w:tab/>
      </w:r>
      <w:r>
        <w:rPr>
          <w:b/>
        </w:rPr>
        <w:t xml:space="preserve">PROPOSED SCHOOL-COLLEGE PARTNERSHIP </w:t>
      </w:r>
      <w:r w:rsidR="0064602E">
        <w:rPr>
          <w:b/>
        </w:rPr>
        <w:t xml:space="preserve">ACTIVITY FOR </w:t>
      </w:r>
      <w:r>
        <w:rPr>
          <w:b/>
        </w:rPr>
        <w:t>202</w:t>
      </w:r>
      <w:r w:rsidR="0064602E">
        <w:rPr>
          <w:b/>
        </w:rPr>
        <w:t>4</w:t>
      </w:r>
      <w:r>
        <w:rPr>
          <w:b/>
        </w:rPr>
        <w:t xml:space="preserve"> – 202</w:t>
      </w:r>
      <w:r w:rsidR="0064602E">
        <w:rPr>
          <w:b/>
        </w:rPr>
        <w:t>5</w:t>
      </w:r>
    </w:p>
    <w:p w14:paraId="61CA564A" w14:textId="77777777" w:rsidR="0064602E" w:rsidRDefault="0064602E" w:rsidP="00C13590">
      <w:pPr>
        <w:spacing w:after="0" w:line="240" w:lineRule="auto"/>
        <w:ind w:left="567" w:hanging="567"/>
        <w:jc w:val="both"/>
        <w:rPr>
          <w:rFonts w:cstheme="minorHAnsi"/>
        </w:rPr>
      </w:pPr>
    </w:p>
    <w:p w14:paraId="429FFD5F" w14:textId="70602FC0" w:rsidR="00585CDF" w:rsidRDefault="00C13590" w:rsidP="00C13590">
      <w:pPr>
        <w:spacing w:after="0" w:line="240" w:lineRule="auto"/>
        <w:ind w:left="567" w:hanging="567"/>
        <w:jc w:val="both"/>
        <w:rPr>
          <w:rFonts w:cstheme="minorHAnsi"/>
          <w:b/>
        </w:rPr>
      </w:pPr>
      <w:r w:rsidRPr="0064602E">
        <w:rPr>
          <w:rFonts w:cstheme="minorHAnsi"/>
          <w:b/>
        </w:rPr>
        <w:t>SLC</w:t>
      </w:r>
    </w:p>
    <w:tbl>
      <w:tblPr>
        <w:tblW w:w="9209" w:type="dxa"/>
        <w:tblCellMar>
          <w:top w:w="15" w:type="dxa"/>
          <w:bottom w:w="15" w:type="dxa"/>
        </w:tblCellMar>
        <w:tblLook w:val="04A0" w:firstRow="1" w:lastRow="0" w:firstColumn="1" w:lastColumn="0" w:noHBand="0" w:noVBand="1"/>
      </w:tblPr>
      <w:tblGrid>
        <w:gridCol w:w="5807"/>
        <w:gridCol w:w="3402"/>
      </w:tblGrid>
      <w:tr w:rsidR="004A4A83" w:rsidRPr="004A4A83" w14:paraId="236C930E" w14:textId="77777777" w:rsidTr="00585CDF">
        <w:trPr>
          <w:trHeight w:val="1395"/>
        </w:trPr>
        <w:tc>
          <w:tcPr>
            <w:tcW w:w="5807" w:type="dxa"/>
            <w:tcBorders>
              <w:top w:val="single" w:sz="4" w:space="0" w:color="000000"/>
              <w:left w:val="single" w:sz="4" w:space="0" w:color="000000"/>
              <w:bottom w:val="single" w:sz="4" w:space="0" w:color="000000"/>
              <w:right w:val="single" w:sz="4" w:space="0" w:color="000000"/>
            </w:tcBorders>
            <w:shd w:val="clear" w:color="000000" w:fill="D9E1F2"/>
            <w:vAlign w:val="bottom"/>
            <w:hideMark/>
          </w:tcPr>
          <w:p w14:paraId="63F2E9E0" w14:textId="77777777" w:rsidR="004A4A83" w:rsidRPr="004A4A83" w:rsidRDefault="004A4A83" w:rsidP="004A4A83">
            <w:pPr>
              <w:spacing w:after="0" w:line="240" w:lineRule="auto"/>
              <w:rPr>
                <w:rFonts w:ascii="Calibri" w:eastAsia="Times New Roman" w:hAnsi="Calibri" w:cs="Calibri"/>
                <w:b/>
                <w:bCs/>
                <w:color w:val="000000"/>
                <w:sz w:val="20"/>
                <w:szCs w:val="20"/>
                <w:lang w:eastAsia="en-GB"/>
              </w:rPr>
            </w:pPr>
            <w:r w:rsidRPr="004A4A83">
              <w:rPr>
                <w:rFonts w:ascii="Calibri" w:eastAsia="Times New Roman" w:hAnsi="Calibri" w:cs="Calibri"/>
                <w:b/>
                <w:bCs/>
                <w:color w:val="000000"/>
                <w:sz w:val="20"/>
                <w:szCs w:val="20"/>
                <w:lang w:eastAsia="en-GB"/>
              </w:rPr>
              <w:t>Course Title</w:t>
            </w:r>
          </w:p>
        </w:tc>
        <w:tc>
          <w:tcPr>
            <w:tcW w:w="3402" w:type="dxa"/>
            <w:tcBorders>
              <w:top w:val="single" w:sz="4" w:space="0" w:color="000000"/>
              <w:left w:val="single" w:sz="4" w:space="0" w:color="000000"/>
              <w:bottom w:val="single" w:sz="4" w:space="0" w:color="000000"/>
              <w:right w:val="single" w:sz="4" w:space="0" w:color="000000"/>
            </w:tcBorders>
            <w:shd w:val="clear" w:color="000000" w:fill="FFE699"/>
            <w:vAlign w:val="bottom"/>
            <w:hideMark/>
          </w:tcPr>
          <w:p w14:paraId="63F0AEBE" w14:textId="77777777" w:rsidR="004A4A83" w:rsidRPr="004A4A83" w:rsidRDefault="004A4A83" w:rsidP="004A4A83">
            <w:pPr>
              <w:spacing w:after="0" w:line="240" w:lineRule="auto"/>
              <w:jc w:val="center"/>
              <w:rPr>
                <w:rFonts w:ascii="Calibri" w:eastAsia="Times New Roman" w:hAnsi="Calibri" w:cs="Calibri"/>
                <w:b/>
                <w:bCs/>
                <w:color w:val="000000"/>
                <w:sz w:val="20"/>
                <w:szCs w:val="20"/>
                <w:lang w:eastAsia="en-GB"/>
              </w:rPr>
            </w:pPr>
            <w:r w:rsidRPr="004A4A83">
              <w:rPr>
                <w:rFonts w:ascii="Calibri" w:eastAsia="Times New Roman" w:hAnsi="Calibri" w:cs="Calibri"/>
                <w:b/>
                <w:bCs/>
                <w:color w:val="000000"/>
                <w:sz w:val="20"/>
                <w:szCs w:val="20"/>
                <w:lang w:eastAsia="en-GB"/>
              </w:rPr>
              <w:t xml:space="preserve">24/25 Projected Enrolments  </w:t>
            </w:r>
          </w:p>
        </w:tc>
      </w:tr>
      <w:tr w:rsidR="004A4A83" w:rsidRPr="004A4A83" w14:paraId="65217646"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1752465F"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 xml:space="preserve">Beauty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C243C14"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16</w:t>
            </w:r>
          </w:p>
        </w:tc>
      </w:tr>
      <w:tr w:rsidR="004A4A83" w:rsidRPr="004A4A83" w14:paraId="581D39F6"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4FC33F4F"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 xml:space="preserve">Beauty </w:t>
            </w:r>
          </w:p>
        </w:tc>
        <w:tc>
          <w:tcPr>
            <w:tcW w:w="3402" w:type="dxa"/>
            <w:tcBorders>
              <w:top w:val="single" w:sz="4" w:space="0" w:color="000000"/>
              <w:left w:val="single" w:sz="4" w:space="0" w:color="000000"/>
              <w:bottom w:val="single" w:sz="4" w:space="0" w:color="000000"/>
              <w:right w:val="single" w:sz="4" w:space="0" w:color="000000"/>
            </w:tcBorders>
            <w:shd w:val="clear" w:color="000000" w:fill="FFE699"/>
            <w:noWrap/>
            <w:vAlign w:val="bottom"/>
            <w:hideMark/>
          </w:tcPr>
          <w:p w14:paraId="67D45712"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16</w:t>
            </w:r>
          </w:p>
        </w:tc>
      </w:tr>
      <w:tr w:rsidR="004A4A83" w:rsidRPr="004A4A83" w14:paraId="789A3729"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744565D6"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 xml:space="preserve">Beauty </w:t>
            </w:r>
          </w:p>
        </w:tc>
        <w:tc>
          <w:tcPr>
            <w:tcW w:w="3402" w:type="dxa"/>
            <w:tcBorders>
              <w:top w:val="single" w:sz="4" w:space="0" w:color="000000"/>
              <w:left w:val="single" w:sz="4" w:space="0" w:color="000000"/>
              <w:bottom w:val="single" w:sz="4" w:space="0" w:color="000000"/>
              <w:right w:val="single" w:sz="4" w:space="0" w:color="000000"/>
            </w:tcBorders>
            <w:shd w:val="clear" w:color="000000" w:fill="FFE699"/>
            <w:noWrap/>
            <w:vAlign w:val="bottom"/>
            <w:hideMark/>
          </w:tcPr>
          <w:p w14:paraId="0D8D1639"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16</w:t>
            </w:r>
          </w:p>
        </w:tc>
      </w:tr>
      <w:tr w:rsidR="004A4A83" w:rsidRPr="004A4A83" w14:paraId="2506D75D"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4F431169"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Construction A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5DB3180"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13</w:t>
            </w:r>
          </w:p>
        </w:tc>
      </w:tr>
      <w:tr w:rsidR="004A4A83" w:rsidRPr="004A4A83" w14:paraId="04E3AE7E"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1280D8CA" w14:textId="676DDFEE" w:rsidR="004A4A83" w:rsidRPr="004A4A83" w:rsidRDefault="0050097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Construction C</w:t>
            </w:r>
            <w:r w:rsidR="004A4A83" w:rsidRPr="004A4A83">
              <w:rPr>
                <w:rFonts w:ascii="Calibri" w:eastAsia="Times New Roman" w:hAnsi="Calibri" w:cs="Calibri"/>
                <w:color w:val="000000"/>
                <w:sz w:val="20"/>
                <w:szCs w:val="20"/>
                <w:lang w:eastAsia="en-GB"/>
              </w:rPr>
              <w:t>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31983D8"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13</w:t>
            </w:r>
          </w:p>
        </w:tc>
      </w:tr>
      <w:tr w:rsidR="004A4A83" w:rsidRPr="004A4A83" w14:paraId="6897E8A9"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2DA9D405" w14:textId="6553CE54" w:rsidR="004A4A83" w:rsidRPr="004A4A83" w:rsidRDefault="0050097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Construction E</w:t>
            </w:r>
            <w:r w:rsidR="004A4A83" w:rsidRPr="004A4A83">
              <w:rPr>
                <w:rFonts w:ascii="Calibri" w:eastAsia="Times New Roman" w:hAnsi="Calibri" w:cs="Calibri"/>
                <w:color w:val="000000"/>
                <w:sz w:val="20"/>
                <w:szCs w:val="20"/>
                <w:lang w:eastAsia="en-GB"/>
              </w:rPr>
              <w:t>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862FD2F"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12</w:t>
            </w:r>
          </w:p>
        </w:tc>
      </w:tr>
      <w:tr w:rsidR="004A4A83" w:rsidRPr="004A4A83" w14:paraId="0B6F6B98"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26C58D83"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 xml:space="preserve">Construction B                                           </w:t>
            </w:r>
          </w:p>
        </w:tc>
        <w:tc>
          <w:tcPr>
            <w:tcW w:w="3402" w:type="dxa"/>
            <w:tcBorders>
              <w:top w:val="single" w:sz="4" w:space="0" w:color="000000"/>
              <w:left w:val="single" w:sz="4" w:space="0" w:color="000000"/>
              <w:bottom w:val="single" w:sz="4" w:space="0" w:color="000000"/>
              <w:right w:val="single" w:sz="4" w:space="0" w:color="000000"/>
            </w:tcBorders>
            <w:shd w:val="clear" w:color="000000" w:fill="FFE699"/>
            <w:noWrap/>
            <w:vAlign w:val="bottom"/>
            <w:hideMark/>
          </w:tcPr>
          <w:p w14:paraId="53F8D0CF"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14</w:t>
            </w:r>
          </w:p>
        </w:tc>
      </w:tr>
      <w:tr w:rsidR="004A4A83" w:rsidRPr="004A4A83" w14:paraId="7606E133"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4C7F6A41" w14:textId="5E6FADF7" w:rsidR="004A4A83" w:rsidRPr="004A4A83" w:rsidRDefault="0050097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Construction D</w:t>
            </w:r>
            <w:r w:rsidR="004A4A83" w:rsidRPr="004A4A83">
              <w:rPr>
                <w:rFonts w:ascii="Calibri" w:eastAsia="Times New Roman" w:hAnsi="Calibri" w:cs="Calibri"/>
                <w:color w:val="000000"/>
                <w:sz w:val="20"/>
                <w:szCs w:val="20"/>
                <w:lang w:eastAsia="en-GB"/>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000000" w:fill="FFE699"/>
            <w:noWrap/>
            <w:vAlign w:val="bottom"/>
            <w:hideMark/>
          </w:tcPr>
          <w:p w14:paraId="5C7455A7"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14</w:t>
            </w:r>
          </w:p>
        </w:tc>
      </w:tr>
      <w:tr w:rsidR="004A4A83" w:rsidRPr="004A4A83" w14:paraId="0B998AC0"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00FA5333"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 xml:space="preserve">Construction F                                             </w:t>
            </w:r>
          </w:p>
        </w:tc>
        <w:tc>
          <w:tcPr>
            <w:tcW w:w="3402" w:type="dxa"/>
            <w:tcBorders>
              <w:top w:val="single" w:sz="4" w:space="0" w:color="000000"/>
              <w:left w:val="single" w:sz="4" w:space="0" w:color="000000"/>
              <w:bottom w:val="single" w:sz="4" w:space="0" w:color="000000"/>
              <w:right w:val="single" w:sz="4" w:space="0" w:color="000000"/>
            </w:tcBorders>
            <w:shd w:val="clear" w:color="000000" w:fill="FFE699"/>
            <w:noWrap/>
            <w:vAlign w:val="bottom"/>
            <w:hideMark/>
          </w:tcPr>
          <w:p w14:paraId="1A06A2A0"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14</w:t>
            </w:r>
          </w:p>
        </w:tc>
      </w:tr>
      <w:tr w:rsidR="004A4A83" w:rsidRPr="004A4A83" w14:paraId="3DDDBD16"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1C6CAB30"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Creative and Digital Media</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581C133"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13</w:t>
            </w:r>
          </w:p>
        </w:tc>
      </w:tr>
      <w:tr w:rsidR="004A4A83" w:rsidRPr="004A4A83" w14:paraId="50B038D0"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7EABBC9F"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Creative and Digital Media</w:t>
            </w:r>
          </w:p>
        </w:tc>
        <w:tc>
          <w:tcPr>
            <w:tcW w:w="3402" w:type="dxa"/>
            <w:tcBorders>
              <w:top w:val="single" w:sz="4" w:space="0" w:color="000000"/>
              <w:left w:val="single" w:sz="4" w:space="0" w:color="000000"/>
              <w:bottom w:val="single" w:sz="4" w:space="0" w:color="000000"/>
              <w:right w:val="single" w:sz="4" w:space="0" w:color="000000"/>
            </w:tcBorders>
            <w:shd w:val="clear" w:color="000000" w:fill="FFE699"/>
            <w:noWrap/>
            <w:vAlign w:val="bottom"/>
            <w:hideMark/>
          </w:tcPr>
          <w:p w14:paraId="4CF0E5E4"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8</w:t>
            </w:r>
          </w:p>
        </w:tc>
      </w:tr>
      <w:tr w:rsidR="004A4A83" w:rsidRPr="004A4A83" w14:paraId="68D36D63"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13806D5D"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EE &amp; Childcare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0CF393B"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16</w:t>
            </w:r>
          </w:p>
        </w:tc>
      </w:tr>
      <w:tr w:rsidR="004A4A83" w:rsidRPr="004A4A83" w14:paraId="17205A9C"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121870D2"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EE &amp; Childcare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50AB721"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15</w:t>
            </w:r>
          </w:p>
        </w:tc>
      </w:tr>
      <w:tr w:rsidR="004A4A83" w:rsidRPr="004A4A83" w14:paraId="32F53754"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4F40E28B"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 xml:space="preserve">EE &amp; Childcare                                         </w:t>
            </w:r>
          </w:p>
        </w:tc>
        <w:tc>
          <w:tcPr>
            <w:tcW w:w="3402" w:type="dxa"/>
            <w:tcBorders>
              <w:top w:val="single" w:sz="4" w:space="0" w:color="000000"/>
              <w:left w:val="single" w:sz="4" w:space="0" w:color="000000"/>
              <w:bottom w:val="single" w:sz="4" w:space="0" w:color="000000"/>
              <w:right w:val="single" w:sz="4" w:space="0" w:color="000000"/>
            </w:tcBorders>
            <w:shd w:val="clear" w:color="000000" w:fill="FFE699"/>
            <w:noWrap/>
            <w:vAlign w:val="bottom"/>
            <w:hideMark/>
          </w:tcPr>
          <w:p w14:paraId="1033EC19"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15</w:t>
            </w:r>
          </w:p>
        </w:tc>
      </w:tr>
      <w:tr w:rsidR="004A4A83" w:rsidRPr="004A4A83" w14:paraId="09BB6D87"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04585D7F"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EE &amp; Childcare                                         </w:t>
            </w:r>
          </w:p>
        </w:tc>
        <w:tc>
          <w:tcPr>
            <w:tcW w:w="3402" w:type="dxa"/>
            <w:tcBorders>
              <w:top w:val="single" w:sz="4" w:space="0" w:color="000000"/>
              <w:left w:val="single" w:sz="4" w:space="0" w:color="000000"/>
              <w:bottom w:val="single" w:sz="4" w:space="0" w:color="000000"/>
              <w:right w:val="single" w:sz="4" w:space="0" w:color="000000"/>
            </w:tcBorders>
            <w:shd w:val="clear" w:color="000000" w:fill="FFE699"/>
            <w:noWrap/>
            <w:vAlign w:val="bottom"/>
            <w:hideMark/>
          </w:tcPr>
          <w:p w14:paraId="475B0429"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16</w:t>
            </w:r>
          </w:p>
        </w:tc>
      </w:tr>
      <w:tr w:rsidR="004A4A83" w:rsidRPr="004A4A83" w14:paraId="7F50F6AE"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766589FD"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Engineering Skills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404983B"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15</w:t>
            </w:r>
          </w:p>
        </w:tc>
      </w:tr>
      <w:tr w:rsidR="004A4A83" w:rsidRPr="004A4A83" w14:paraId="025CC4BD"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60147CF3"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Engineering Skills                                  </w:t>
            </w:r>
          </w:p>
        </w:tc>
        <w:tc>
          <w:tcPr>
            <w:tcW w:w="3402" w:type="dxa"/>
            <w:tcBorders>
              <w:top w:val="single" w:sz="4" w:space="0" w:color="000000"/>
              <w:left w:val="single" w:sz="4" w:space="0" w:color="000000"/>
              <w:bottom w:val="single" w:sz="4" w:space="0" w:color="000000"/>
              <w:right w:val="single" w:sz="4" w:space="0" w:color="000000"/>
            </w:tcBorders>
            <w:shd w:val="clear" w:color="000000" w:fill="FFE699"/>
            <w:noWrap/>
            <w:vAlign w:val="bottom"/>
            <w:hideMark/>
          </w:tcPr>
          <w:p w14:paraId="6F148C71"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15</w:t>
            </w:r>
          </w:p>
        </w:tc>
      </w:tr>
      <w:tr w:rsidR="004A4A83" w:rsidRPr="004A4A83" w14:paraId="5533FF98"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3BF43989"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Hair &amp; Barbering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3DECB8F"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16</w:t>
            </w:r>
          </w:p>
        </w:tc>
      </w:tr>
      <w:tr w:rsidR="004A4A83" w:rsidRPr="004A4A83" w14:paraId="48866E3E"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46E15178"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Hair &amp; Barbering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480B402"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16</w:t>
            </w:r>
          </w:p>
        </w:tc>
      </w:tr>
      <w:tr w:rsidR="004A4A83" w:rsidRPr="004A4A83" w14:paraId="1F6A1562"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68401F3B"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 xml:space="preserve">Hair &amp; Barbering                                 </w:t>
            </w:r>
          </w:p>
        </w:tc>
        <w:tc>
          <w:tcPr>
            <w:tcW w:w="3402" w:type="dxa"/>
            <w:tcBorders>
              <w:top w:val="single" w:sz="4" w:space="0" w:color="000000"/>
              <w:left w:val="single" w:sz="4" w:space="0" w:color="000000"/>
              <w:bottom w:val="single" w:sz="4" w:space="0" w:color="000000"/>
              <w:right w:val="single" w:sz="4" w:space="0" w:color="000000"/>
            </w:tcBorders>
            <w:shd w:val="clear" w:color="000000" w:fill="FFE699"/>
            <w:noWrap/>
            <w:vAlign w:val="bottom"/>
            <w:hideMark/>
          </w:tcPr>
          <w:p w14:paraId="1B301A35"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16</w:t>
            </w:r>
          </w:p>
        </w:tc>
      </w:tr>
      <w:tr w:rsidR="004A4A83" w:rsidRPr="004A4A83" w14:paraId="108615AC"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43C317EF"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Health &amp; Social care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D25DC6C"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13</w:t>
            </w:r>
          </w:p>
        </w:tc>
      </w:tr>
      <w:tr w:rsidR="004A4A83" w:rsidRPr="004A4A83" w14:paraId="4823EC13"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02FA1352"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 xml:space="preserve">Health &amp; Social care                             </w:t>
            </w:r>
          </w:p>
        </w:tc>
        <w:tc>
          <w:tcPr>
            <w:tcW w:w="3402" w:type="dxa"/>
            <w:tcBorders>
              <w:top w:val="single" w:sz="4" w:space="0" w:color="000000"/>
              <w:left w:val="single" w:sz="4" w:space="0" w:color="000000"/>
              <w:bottom w:val="single" w:sz="4" w:space="0" w:color="000000"/>
              <w:right w:val="single" w:sz="4" w:space="0" w:color="000000"/>
            </w:tcBorders>
            <w:shd w:val="clear" w:color="000000" w:fill="FFE699"/>
            <w:noWrap/>
            <w:vAlign w:val="bottom"/>
            <w:hideMark/>
          </w:tcPr>
          <w:p w14:paraId="0B333FD1"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12</w:t>
            </w:r>
          </w:p>
        </w:tc>
      </w:tr>
      <w:tr w:rsidR="004A4A83" w:rsidRPr="004A4A83" w14:paraId="6EA8C7DB"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252462C1"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Hospitality</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65A3B7C"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14</w:t>
            </w:r>
          </w:p>
        </w:tc>
      </w:tr>
      <w:tr w:rsidR="004A4A83" w:rsidRPr="004A4A83" w14:paraId="12764B4B"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5C080528"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Hospitality</w:t>
            </w:r>
          </w:p>
        </w:tc>
        <w:tc>
          <w:tcPr>
            <w:tcW w:w="3402" w:type="dxa"/>
            <w:tcBorders>
              <w:top w:val="single" w:sz="4" w:space="0" w:color="000000"/>
              <w:left w:val="single" w:sz="4" w:space="0" w:color="000000"/>
              <w:bottom w:val="single" w:sz="4" w:space="0" w:color="000000"/>
              <w:right w:val="single" w:sz="4" w:space="0" w:color="000000"/>
            </w:tcBorders>
            <w:shd w:val="clear" w:color="000000" w:fill="FFE699"/>
            <w:noWrap/>
            <w:vAlign w:val="bottom"/>
            <w:hideMark/>
          </w:tcPr>
          <w:p w14:paraId="65E161EA"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16</w:t>
            </w:r>
          </w:p>
        </w:tc>
      </w:tr>
      <w:tr w:rsidR="004A4A83" w:rsidRPr="004A4A83" w14:paraId="0BBA9C38"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5F332455"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Make-Up Artistry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0168A0B"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16</w:t>
            </w:r>
          </w:p>
        </w:tc>
      </w:tr>
      <w:tr w:rsidR="004A4A83" w:rsidRPr="004A4A83" w14:paraId="48E473E3"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1107CA1E"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 xml:space="preserve">Make-Up Artistry                          </w:t>
            </w:r>
          </w:p>
        </w:tc>
        <w:tc>
          <w:tcPr>
            <w:tcW w:w="3402" w:type="dxa"/>
            <w:tcBorders>
              <w:top w:val="single" w:sz="4" w:space="0" w:color="000000"/>
              <w:left w:val="single" w:sz="4" w:space="0" w:color="000000"/>
              <w:bottom w:val="single" w:sz="4" w:space="0" w:color="000000"/>
              <w:right w:val="single" w:sz="4" w:space="0" w:color="000000"/>
            </w:tcBorders>
            <w:shd w:val="clear" w:color="000000" w:fill="FFE699"/>
            <w:noWrap/>
            <w:vAlign w:val="bottom"/>
            <w:hideMark/>
          </w:tcPr>
          <w:p w14:paraId="40744E16"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16</w:t>
            </w:r>
          </w:p>
        </w:tc>
      </w:tr>
      <w:tr w:rsidR="004A4A83" w:rsidRPr="004A4A83" w14:paraId="48D6729D"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7F3EB9C1"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Sport &amp; Recreation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DF69C4A"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14</w:t>
            </w:r>
          </w:p>
        </w:tc>
      </w:tr>
      <w:tr w:rsidR="004A4A83" w:rsidRPr="004A4A83" w14:paraId="774ED1FF"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65F7BF8F"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 xml:space="preserve">Sport &amp; Recreation                                  </w:t>
            </w:r>
          </w:p>
        </w:tc>
        <w:tc>
          <w:tcPr>
            <w:tcW w:w="3402" w:type="dxa"/>
            <w:tcBorders>
              <w:top w:val="single" w:sz="4" w:space="0" w:color="000000"/>
              <w:left w:val="single" w:sz="4" w:space="0" w:color="000000"/>
              <w:bottom w:val="single" w:sz="4" w:space="0" w:color="000000"/>
              <w:right w:val="single" w:sz="4" w:space="0" w:color="000000"/>
            </w:tcBorders>
            <w:shd w:val="clear" w:color="000000" w:fill="FFE699"/>
            <w:noWrap/>
            <w:vAlign w:val="bottom"/>
            <w:hideMark/>
          </w:tcPr>
          <w:p w14:paraId="2B0198C7"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19</w:t>
            </w:r>
          </w:p>
        </w:tc>
      </w:tr>
      <w:tr w:rsidR="004A4A83" w:rsidRPr="004A4A83" w14:paraId="47025A8C"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25DB1D52"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UES</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1697D8E"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15</w:t>
            </w:r>
          </w:p>
        </w:tc>
      </w:tr>
      <w:tr w:rsidR="004A4A83" w:rsidRPr="004A4A83" w14:paraId="20326E7B"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hideMark/>
          </w:tcPr>
          <w:p w14:paraId="40587BE9"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UES</w:t>
            </w:r>
          </w:p>
        </w:tc>
        <w:tc>
          <w:tcPr>
            <w:tcW w:w="3402" w:type="dxa"/>
            <w:tcBorders>
              <w:top w:val="single" w:sz="4" w:space="0" w:color="000000"/>
              <w:left w:val="single" w:sz="4" w:space="0" w:color="000000"/>
              <w:bottom w:val="single" w:sz="4" w:space="0" w:color="000000"/>
              <w:right w:val="single" w:sz="4" w:space="0" w:color="000000"/>
            </w:tcBorders>
            <w:shd w:val="clear" w:color="000000" w:fill="FFE699"/>
            <w:noWrap/>
            <w:vAlign w:val="bottom"/>
            <w:hideMark/>
          </w:tcPr>
          <w:p w14:paraId="3B7204E4"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18</w:t>
            </w:r>
          </w:p>
        </w:tc>
      </w:tr>
      <w:tr w:rsidR="004A4A83" w:rsidRPr="004A4A83" w14:paraId="6E2237DF"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tcPr>
          <w:p w14:paraId="37F60ECB" w14:textId="408BC9ED" w:rsidR="004A4A83" w:rsidRPr="004A4A83" w:rsidRDefault="004A4A83" w:rsidP="004A4A83">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FA Engineering Y2 Returners</w:t>
            </w:r>
          </w:p>
        </w:tc>
        <w:tc>
          <w:tcPr>
            <w:tcW w:w="3402" w:type="dxa"/>
            <w:tcBorders>
              <w:top w:val="single" w:sz="4" w:space="0" w:color="000000"/>
              <w:left w:val="single" w:sz="4" w:space="0" w:color="000000"/>
              <w:bottom w:val="single" w:sz="4" w:space="0" w:color="000000"/>
              <w:right w:val="single" w:sz="4" w:space="0" w:color="000000"/>
            </w:tcBorders>
            <w:shd w:val="clear" w:color="000000" w:fill="FFE699"/>
            <w:noWrap/>
            <w:vAlign w:val="bottom"/>
          </w:tcPr>
          <w:p w14:paraId="75A24AF3" w14:textId="4DCE53BA" w:rsidR="004A4A83" w:rsidRPr="004A4A83" w:rsidRDefault="004A4A83" w:rsidP="004A4A8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9</w:t>
            </w:r>
          </w:p>
        </w:tc>
      </w:tr>
      <w:tr w:rsidR="004A4A83" w:rsidRPr="004A4A83" w14:paraId="18AB92F8"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tcPr>
          <w:p w14:paraId="46CD1147" w14:textId="44307CF4" w:rsidR="004A4A83" w:rsidRDefault="004A4A83" w:rsidP="004A4A83">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SWAP Access to Engineering</w:t>
            </w:r>
          </w:p>
        </w:tc>
        <w:tc>
          <w:tcPr>
            <w:tcW w:w="3402" w:type="dxa"/>
            <w:tcBorders>
              <w:top w:val="single" w:sz="4" w:space="0" w:color="000000"/>
              <w:left w:val="single" w:sz="4" w:space="0" w:color="000000"/>
              <w:bottom w:val="single" w:sz="4" w:space="0" w:color="000000"/>
              <w:right w:val="single" w:sz="4" w:space="0" w:color="000000"/>
            </w:tcBorders>
            <w:shd w:val="clear" w:color="000000" w:fill="FFE699"/>
            <w:noWrap/>
            <w:vAlign w:val="bottom"/>
          </w:tcPr>
          <w:p w14:paraId="441C9C78" w14:textId="7B2DF13B" w:rsidR="004A4A83" w:rsidRDefault="004A4A83" w:rsidP="004A4A8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12</w:t>
            </w:r>
          </w:p>
        </w:tc>
      </w:tr>
      <w:tr w:rsidR="004A4A83" w:rsidRPr="004A4A83" w14:paraId="47575415" w14:textId="77777777" w:rsidTr="00585CDF">
        <w:trPr>
          <w:trHeight w:val="300"/>
        </w:trPr>
        <w:tc>
          <w:tcPr>
            <w:tcW w:w="5807" w:type="dxa"/>
            <w:tcBorders>
              <w:top w:val="single" w:sz="4" w:space="0" w:color="000000"/>
              <w:left w:val="single" w:sz="4" w:space="0" w:color="000000"/>
              <w:bottom w:val="single" w:sz="4" w:space="0" w:color="000000"/>
              <w:right w:val="single" w:sz="4" w:space="0" w:color="000000"/>
            </w:tcBorders>
            <w:shd w:val="clear" w:color="000000" w:fill="B5E6A2"/>
            <w:noWrap/>
            <w:vAlign w:val="bottom"/>
          </w:tcPr>
          <w:p w14:paraId="32C8231F" w14:textId="5EED3CA0" w:rsidR="004A4A83" w:rsidRDefault="004A4A83" w:rsidP="004A4A83">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Winter Leavers</w:t>
            </w:r>
          </w:p>
        </w:tc>
        <w:tc>
          <w:tcPr>
            <w:tcW w:w="3402" w:type="dxa"/>
            <w:tcBorders>
              <w:top w:val="single" w:sz="4" w:space="0" w:color="000000"/>
              <w:left w:val="single" w:sz="4" w:space="0" w:color="000000"/>
              <w:bottom w:val="single" w:sz="4" w:space="0" w:color="000000"/>
              <w:right w:val="single" w:sz="4" w:space="0" w:color="000000"/>
            </w:tcBorders>
            <w:shd w:val="clear" w:color="000000" w:fill="FFE699"/>
            <w:noWrap/>
            <w:vAlign w:val="bottom"/>
          </w:tcPr>
          <w:p w14:paraId="42F836B3" w14:textId="61CD88E2" w:rsidR="004A4A83" w:rsidRDefault="004A4A83" w:rsidP="004A4A8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64</w:t>
            </w:r>
          </w:p>
        </w:tc>
      </w:tr>
      <w:tr w:rsidR="004A4A83" w:rsidRPr="004A4A83" w14:paraId="7166D1A8" w14:textId="77777777" w:rsidTr="00585CDF">
        <w:trPr>
          <w:trHeight w:val="300"/>
        </w:trPr>
        <w:tc>
          <w:tcPr>
            <w:tcW w:w="5807" w:type="dxa"/>
            <w:tcBorders>
              <w:top w:val="nil"/>
              <w:left w:val="nil"/>
              <w:bottom w:val="nil"/>
              <w:right w:val="nil"/>
            </w:tcBorders>
            <w:noWrap/>
            <w:vAlign w:val="bottom"/>
            <w:hideMark/>
          </w:tcPr>
          <w:p w14:paraId="49C51B62" w14:textId="77777777" w:rsidR="004A4A83" w:rsidRPr="004A4A83" w:rsidRDefault="004A4A83" w:rsidP="004A4A83">
            <w:pPr>
              <w:spacing w:after="0" w:line="240" w:lineRule="auto"/>
              <w:jc w:val="center"/>
              <w:rPr>
                <w:rFonts w:ascii="Calibri" w:eastAsia="Times New Roman" w:hAnsi="Calibri" w:cs="Calibri"/>
                <w:color w:val="000000"/>
                <w:lang w:eastAsia="en-GB"/>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E699"/>
            <w:noWrap/>
            <w:vAlign w:val="bottom"/>
            <w:hideMark/>
          </w:tcPr>
          <w:p w14:paraId="0921D14B" w14:textId="76CE9CDF" w:rsidR="004A4A83" w:rsidRPr="004A4A83" w:rsidRDefault="004A4A83" w:rsidP="004A4A83">
            <w:pPr>
              <w:spacing w:after="0" w:line="240" w:lineRule="auto"/>
              <w:jc w:val="center"/>
              <w:rPr>
                <w:rFonts w:ascii="Calibri" w:eastAsia="Times New Roman" w:hAnsi="Calibri" w:cs="Calibri"/>
                <w:b/>
                <w:bCs/>
                <w:color w:val="000000"/>
                <w:sz w:val="20"/>
                <w:szCs w:val="20"/>
                <w:u w:val="double"/>
                <w:lang w:eastAsia="en-GB"/>
              </w:rPr>
            </w:pPr>
            <w:r>
              <w:rPr>
                <w:rFonts w:ascii="Calibri" w:eastAsia="Times New Roman" w:hAnsi="Calibri" w:cs="Calibri"/>
                <w:b/>
                <w:bCs/>
                <w:color w:val="000000"/>
                <w:sz w:val="20"/>
                <w:szCs w:val="20"/>
                <w:u w:val="double"/>
                <w:lang w:eastAsia="en-GB"/>
              </w:rPr>
              <w:t>527</w:t>
            </w:r>
          </w:p>
        </w:tc>
      </w:tr>
    </w:tbl>
    <w:p w14:paraId="4FA2F214" w14:textId="36C0AAA6" w:rsidR="00897969" w:rsidRDefault="00897969" w:rsidP="0064602E">
      <w:pPr>
        <w:spacing w:after="0" w:line="240" w:lineRule="auto"/>
        <w:ind w:left="567" w:hanging="567"/>
        <w:jc w:val="both"/>
        <w:rPr>
          <w:rFonts w:cstheme="minorHAnsi"/>
          <w:b/>
        </w:rPr>
      </w:pPr>
      <w:r w:rsidRPr="0064602E">
        <w:rPr>
          <w:rFonts w:cstheme="minorHAnsi"/>
          <w:b/>
        </w:rPr>
        <w:t>NLC</w:t>
      </w:r>
    </w:p>
    <w:tbl>
      <w:tblPr>
        <w:tblStyle w:val="TableGrid"/>
        <w:tblW w:w="9214" w:type="dxa"/>
        <w:tblInd w:w="-5" w:type="dxa"/>
        <w:tblLook w:val="04A0" w:firstRow="1" w:lastRow="0" w:firstColumn="1" w:lastColumn="0" w:noHBand="0" w:noVBand="1"/>
      </w:tblPr>
      <w:tblGrid>
        <w:gridCol w:w="5812"/>
        <w:gridCol w:w="3402"/>
      </w:tblGrid>
      <w:tr w:rsidR="00731E87" w:rsidRPr="007D1BB8" w14:paraId="7CEB5097" w14:textId="77777777" w:rsidTr="00585CDF">
        <w:tc>
          <w:tcPr>
            <w:tcW w:w="5812" w:type="dxa"/>
            <w:shd w:val="clear" w:color="auto" w:fill="BFBFBF" w:themeFill="background1" w:themeFillShade="BF"/>
          </w:tcPr>
          <w:p w14:paraId="392DCB33" w14:textId="77777777" w:rsidR="00731E87" w:rsidRPr="007D1BB8" w:rsidRDefault="00731E87" w:rsidP="00717E68">
            <w:pPr>
              <w:jc w:val="center"/>
              <w:rPr>
                <w:rFonts w:cstheme="minorHAnsi"/>
                <w:b/>
              </w:rPr>
            </w:pPr>
            <w:bookmarkStart w:id="0" w:name="_Hlk175665978"/>
            <w:r w:rsidRPr="007D1BB8">
              <w:rPr>
                <w:rFonts w:cstheme="minorHAnsi"/>
                <w:b/>
              </w:rPr>
              <w:t>Course</w:t>
            </w:r>
          </w:p>
        </w:tc>
        <w:tc>
          <w:tcPr>
            <w:tcW w:w="3402" w:type="dxa"/>
            <w:shd w:val="clear" w:color="auto" w:fill="BFBFBF" w:themeFill="background1" w:themeFillShade="BF"/>
          </w:tcPr>
          <w:p w14:paraId="2CD92684" w14:textId="6D881593" w:rsidR="00731E87" w:rsidRPr="007D1BB8" w:rsidRDefault="00731E87" w:rsidP="00717E68">
            <w:pPr>
              <w:jc w:val="center"/>
              <w:rPr>
                <w:rFonts w:cstheme="minorHAnsi"/>
                <w:b/>
              </w:rPr>
            </w:pPr>
            <w:r>
              <w:rPr>
                <w:rFonts w:cstheme="minorHAnsi"/>
                <w:b/>
              </w:rPr>
              <w:t>Projected Enrolments</w:t>
            </w:r>
          </w:p>
        </w:tc>
      </w:tr>
      <w:tr w:rsidR="00731E87" w:rsidRPr="00C624FC" w14:paraId="260A849C" w14:textId="77777777" w:rsidTr="00585CDF">
        <w:tc>
          <w:tcPr>
            <w:tcW w:w="5812" w:type="dxa"/>
            <w:vAlign w:val="bottom"/>
          </w:tcPr>
          <w:p w14:paraId="6A7FA2E5" w14:textId="77777777" w:rsidR="00731E87" w:rsidRPr="007D1BB8" w:rsidRDefault="00731E87" w:rsidP="0064602E">
            <w:pPr>
              <w:rPr>
                <w:rFonts w:cstheme="minorHAnsi"/>
                <w:b/>
              </w:rPr>
            </w:pPr>
            <w:r>
              <w:rPr>
                <w:rFonts w:ascii="Calibri" w:hAnsi="Calibri" w:cs="Calibri"/>
                <w:color w:val="000000"/>
              </w:rPr>
              <w:t xml:space="preserve">HNC Cyber Security </w:t>
            </w:r>
          </w:p>
        </w:tc>
        <w:tc>
          <w:tcPr>
            <w:tcW w:w="3402" w:type="dxa"/>
          </w:tcPr>
          <w:p w14:paraId="3D9916B7" w14:textId="52CDA197" w:rsidR="00731E87" w:rsidRPr="007D1BB8" w:rsidRDefault="00731E87" w:rsidP="0064602E">
            <w:pPr>
              <w:jc w:val="center"/>
              <w:rPr>
                <w:rFonts w:cstheme="minorHAnsi"/>
              </w:rPr>
            </w:pPr>
            <w:r>
              <w:rPr>
                <w:rFonts w:cstheme="minorHAnsi"/>
              </w:rPr>
              <w:t>28</w:t>
            </w:r>
          </w:p>
        </w:tc>
      </w:tr>
      <w:tr w:rsidR="00731E87" w:rsidRPr="00C624FC" w14:paraId="51813A78" w14:textId="77777777" w:rsidTr="00585CDF">
        <w:tc>
          <w:tcPr>
            <w:tcW w:w="5812" w:type="dxa"/>
            <w:vAlign w:val="bottom"/>
          </w:tcPr>
          <w:p w14:paraId="7C8E2D4F" w14:textId="77777777" w:rsidR="00731E87" w:rsidRPr="007D1BB8" w:rsidRDefault="00731E87" w:rsidP="0064602E">
            <w:pPr>
              <w:rPr>
                <w:rFonts w:cstheme="minorHAnsi"/>
                <w:b/>
              </w:rPr>
            </w:pPr>
            <w:r>
              <w:rPr>
                <w:rFonts w:ascii="Calibri" w:hAnsi="Calibri" w:cs="Calibri"/>
                <w:color w:val="000000"/>
              </w:rPr>
              <w:t xml:space="preserve">HNC CADD </w:t>
            </w:r>
          </w:p>
        </w:tc>
        <w:tc>
          <w:tcPr>
            <w:tcW w:w="3402" w:type="dxa"/>
          </w:tcPr>
          <w:p w14:paraId="756D2B54" w14:textId="4A43E160" w:rsidR="00731E87" w:rsidRPr="007D1BB8" w:rsidRDefault="00731E87" w:rsidP="0064602E">
            <w:pPr>
              <w:jc w:val="center"/>
              <w:rPr>
                <w:rFonts w:cstheme="minorHAnsi"/>
              </w:rPr>
            </w:pPr>
            <w:r>
              <w:rPr>
                <w:rFonts w:cstheme="minorHAnsi"/>
              </w:rPr>
              <w:t>14</w:t>
            </w:r>
          </w:p>
        </w:tc>
      </w:tr>
      <w:tr w:rsidR="00731E87" w:rsidRPr="00C624FC" w14:paraId="13E767F2" w14:textId="77777777" w:rsidTr="00585CDF">
        <w:tc>
          <w:tcPr>
            <w:tcW w:w="5812" w:type="dxa"/>
            <w:vAlign w:val="bottom"/>
          </w:tcPr>
          <w:p w14:paraId="65ACF3F2" w14:textId="77777777" w:rsidR="00731E87" w:rsidRPr="007D1BB8" w:rsidRDefault="00731E87" w:rsidP="0064602E">
            <w:pPr>
              <w:rPr>
                <w:rFonts w:cstheme="minorHAnsi"/>
                <w:b/>
              </w:rPr>
            </w:pPr>
            <w:r>
              <w:rPr>
                <w:rFonts w:ascii="Calibri" w:hAnsi="Calibri" w:cs="Calibri"/>
                <w:color w:val="000000"/>
              </w:rPr>
              <w:t xml:space="preserve">HNC Social Services </w:t>
            </w:r>
          </w:p>
        </w:tc>
        <w:tc>
          <w:tcPr>
            <w:tcW w:w="3402" w:type="dxa"/>
          </w:tcPr>
          <w:p w14:paraId="37176966" w14:textId="1B3935EE" w:rsidR="00731E87" w:rsidRPr="007D1BB8" w:rsidRDefault="00731E87" w:rsidP="0064602E">
            <w:pPr>
              <w:jc w:val="center"/>
              <w:rPr>
                <w:rFonts w:cstheme="minorHAnsi"/>
              </w:rPr>
            </w:pPr>
            <w:r>
              <w:rPr>
                <w:rFonts w:cstheme="minorHAnsi"/>
              </w:rPr>
              <w:t>18</w:t>
            </w:r>
          </w:p>
        </w:tc>
      </w:tr>
      <w:tr w:rsidR="00731E87" w14:paraId="11E0CF85" w14:textId="77777777" w:rsidTr="00585CDF">
        <w:tc>
          <w:tcPr>
            <w:tcW w:w="5812" w:type="dxa"/>
          </w:tcPr>
          <w:p w14:paraId="2F8B6025" w14:textId="77777777" w:rsidR="00731E87" w:rsidRDefault="00731E87" w:rsidP="0064602E">
            <w:pPr>
              <w:jc w:val="both"/>
              <w:rPr>
                <w:rFonts w:cstheme="minorHAnsi"/>
              </w:rPr>
            </w:pPr>
            <w:r>
              <w:rPr>
                <w:rFonts w:cstheme="minorHAnsi"/>
              </w:rPr>
              <w:t>FA Construction</w:t>
            </w:r>
          </w:p>
        </w:tc>
        <w:tc>
          <w:tcPr>
            <w:tcW w:w="3402" w:type="dxa"/>
          </w:tcPr>
          <w:p w14:paraId="10F442E3" w14:textId="350F2815" w:rsidR="00731E87" w:rsidRDefault="00731E87" w:rsidP="0064602E">
            <w:pPr>
              <w:jc w:val="center"/>
              <w:rPr>
                <w:rFonts w:cstheme="minorHAnsi"/>
              </w:rPr>
            </w:pPr>
            <w:r>
              <w:rPr>
                <w:rFonts w:cstheme="minorHAnsi"/>
              </w:rPr>
              <w:t>126</w:t>
            </w:r>
          </w:p>
        </w:tc>
      </w:tr>
      <w:tr w:rsidR="00731E87" w14:paraId="74D48E79" w14:textId="77777777" w:rsidTr="00585CDF">
        <w:tc>
          <w:tcPr>
            <w:tcW w:w="5812" w:type="dxa"/>
          </w:tcPr>
          <w:p w14:paraId="5E0EFACF" w14:textId="77777777" w:rsidR="00731E87" w:rsidRDefault="00731E87" w:rsidP="0064602E">
            <w:pPr>
              <w:jc w:val="both"/>
              <w:rPr>
                <w:rFonts w:cstheme="minorHAnsi"/>
              </w:rPr>
            </w:pPr>
            <w:r>
              <w:rPr>
                <w:rFonts w:cstheme="minorHAnsi"/>
              </w:rPr>
              <w:t>FA Engineering</w:t>
            </w:r>
          </w:p>
        </w:tc>
        <w:tc>
          <w:tcPr>
            <w:tcW w:w="3402" w:type="dxa"/>
          </w:tcPr>
          <w:p w14:paraId="7FB8CDCF" w14:textId="7CD6BBDB" w:rsidR="00731E87" w:rsidRDefault="00731E87" w:rsidP="0064602E">
            <w:pPr>
              <w:jc w:val="center"/>
              <w:rPr>
                <w:rFonts w:cstheme="minorHAnsi"/>
              </w:rPr>
            </w:pPr>
            <w:r>
              <w:rPr>
                <w:rFonts w:cstheme="minorHAnsi"/>
              </w:rPr>
              <w:t>15</w:t>
            </w:r>
          </w:p>
        </w:tc>
      </w:tr>
      <w:tr w:rsidR="00731E87" w14:paraId="29E669FB" w14:textId="77777777" w:rsidTr="00585CDF">
        <w:tc>
          <w:tcPr>
            <w:tcW w:w="5812" w:type="dxa"/>
          </w:tcPr>
          <w:p w14:paraId="398135DB" w14:textId="77777777" w:rsidR="00731E87" w:rsidRDefault="00731E87" w:rsidP="0064602E">
            <w:pPr>
              <w:jc w:val="both"/>
              <w:rPr>
                <w:rFonts w:cstheme="minorHAnsi"/>
              </w:rPr>
            </w:pPr>
            <w:r w:rsidRPr="0085665C">
              <w:t>FA Social Services Children &amp; Young People</w:t>
            </w:r>
          </w:p>
        </w:tc>
        <w:tc>
          <w:tcPr>
            <w:tcW w:w="3402" w:type="dxa"/>
          </w:tcPr>
          <w:p w14:paraId="2CFBE6A1" w14:textId="0F9061A3" w:rsidR="00731E87" w:rsidRDefault="00731E87" w:rsidP="0064602E">
            <w:pPr>
              <w:jc w:val="center"/>
              <w:rPr>
                <w:rFonts w:cstheme="minorHAnsi"/>
              </w:rPr>
            </w:pPr>
            <w:r>
              <w:rPr>
                <w:rFonts w:cstheme="minorHAnsi"/>
              </w:rPr>
              <w:t>70</w:t>
            </w:r>
          </w:p>
        </w:tc>
      </w:tr>
      <w:tr w:rsidR="00731E87" w14:paraId="7D756223" w14:textId="77777777" w:rsidTr="00585CDF">
        <w:tc>
          <w:tcPr>
            <w:tcW w:w="5812" w:type="dxa"/>
          </w:tcPr>
          <w:p w14:paraId="077C9090" w14:textId="77777777" w:rsidR="00731E87" w:rsidRDefault="00731E87" w:rsidP="0064602E">
            <w:pPr>
              <w:jc w:val="both"/>
              <w:rPr>
                <w:rFonts w:cstheme="minorHAnsi"/>
              </w:rPr>
            </w:pPr>
            <w:r w:rsidRPr="0085665C">
              <w:t>FA Social Services Healthcare</w:t>
            </w:r>
          </w:p>
        </w:tc>
        <w:tc>
          <w:tcPr>
            <w:tcW w:w="3402" w:type="dxa"/>
          </w:tcPr>
          <w:p w14:paraId="50C297A3" w14:textId="78F1E94B" w:rsidR="00731E87" w:rsidRDefault="00731E87" w:rsidP="0064602E">
            <w:pPr>
              <w:jc w:val="center"/>
              <w:rPr>
                <w:rFonts w:cstheme="minorHAnsi"/>
              </w:rPr>
            </w:pPr>
            <w:r>
              <w:rPr>
                <w:rFonts w:cstheme="minorHAnsi"/>
              </w:rPr>
              <w:t>19</w:t>
            </w:r>
          </w:p>
        </w:tc>
      </w:tr>
      <w:tr w:rsidR="00731E87" w14:paraId="764B2F11" w14:textId="77777777" w:rsidTr="00585CDF">
        <w:tc>
          <w:tcPr>
            <w:tcW w:w="5812" w:type="dxa"/>
          </w:tcPr>
          <w:p w14:paraId="1B42D1E0" w14:textId="57034BD9" w:rsidR="00731E87" w:rsidRDefault="00731E87" w:rsidP="0064602E">
            <w:pPr>
              <w:jc w:val="both"/>
              <w:rPr>
                <w:rFonts w:cstheme="minorHAnsi"/>
              </w:rPr>
            </w:pPr>
            <w:r w:rsidRPr="0085665C">
              <w:t xml:space="preserve">Auto </w:t>
            </w:r>
          </w:p>
        </w:tc>
        <w:tc>
          <w:tcPr>
            <w:tcW w:w="3402" w:type="dxa"/>
          </w:tcPr>
          <w:p w14:paraId="6D7A4D46" w14:textId="691FD602" w:rsidR="00731E87" w:rsidRDefault="00731E87" w:rsidP="0064602E">
            <w:pPr>
              <w:jc w:val="center"/>
              <w:rPr>
                <w:rFonts w:cstheme="minorHAnsi"/>
              </w:rPr>
            </w:pPr>
            <w:r>
              <w:rPr>
                <w:rFonts w:cstheme="minorHAnsi"/>
              </w:rPr>
              <w:t>12</w:t>
            </w:r>
          </w:p>
        </w:tc>
      </w:tr>
      <w:tr w:rsidR="00731E87" w14:paraId="74DAE8BB" w14:textId="77777777" w:rsidTr="00585CDF">
        <w:tc>
          <w:tcPr>
            <w:tcW w:w="5812" w:type="dxa"/>
          </w:tcPr>
          <w:p w14:paraId="3D59A0BA" w14:textId="502C24AB" w:rsidR="00731E87" w:rsidRDefault="00731E87" w:rsidP="0064602E">
            <w:pPr>
              <w:jc w:val="both"/>
              <w:rPr>
                <w:rFonts w:cstheme="minorHAnsi"/>
              </w:rPr>
            </w:pPr>
            <w:r w:rsidRPr="0085665C">
              <w:t>Beauty</w:t>
            </w:r>
          </w:p>
        </w:tc>
        <w:tc>
          <w:tcPr>
            <w:tcW w:w="3402" w:type="dxa"/>
          </w:tcPr>
          <w:p w14:paraId="3277DBA9" w14:textId="172F09A5" w:rsidR="00731E87" w:rsidRDefault="00633698" w:rsidP="0064602E">
            <w:pPr>
              <w:jc w:val="center"/>
              <w:rPr>
                <w:rFonts w:cstheme="minorHAnsi"/>
              </w:rPr>
            </w:pPr>
            <w:r>
              <w:rPr>
                <w:rFonts w:cstheme="minorHAnsi"/>
              </w:rPr>
              <w:t>46</w:t>
            </w:r>
          </w:p>
        </w:tc>
      </w:tr>
      <w:tr w:rsidR="00731E87" w14:paraId="52573AFD" w14:textId="77777777" w:rsidTr="00585CDF">
        <w:tc>
          <w:tcPr>
            <w:tcW w:w="5812" w:type="dxa"/>
          </w:tcPr>
          <w:p w14:paraId="17E3EF4D" w14:textId="77777777" w:rsidR="00731E87" w:rsidRDefault="00731E87" w:rsidP="0064602E">
            <w:pPr>
              <w:jc w:val="both"/>
              <w:rPr>
                <w:rFonts w:cstheme="minorHAnsi"/>
              </w:rPr>
            </w:pPr>
            <w:r w:rsidRPr="0085665C">
              <w:t>ELCC</w:t>
            </w:r>
          </w:p>
        </w:tc>
        <w:tc>
          <w:tcPr>
            <w:tcW w:w="3402" w:type="dxa"/>
          </w:tcPr>
          <w:p w14:paraId="1E602A00" w14:textId="62A6C2E9" w:rsidR="00731E87" w:rsidRDefault="00731E87" w:rsidP="0064602E">
            <w:pPr>
              <w:jc w:val="center"/>
              <w:rPr>
                <w:rFonts w:cstheme="minorHAnsi"/>
              </w:rPr>
            </w:pPr>
            <w:r>
              <w:rPr>
                <w:rFonts w:cstheme="minorHAnsi"/>
              </w:rPr>
              <w:t>78</w:t>
            </w:r>
          </w:p>
        </w:tc>
      </w:tr>
      <w:tr w:rsidR="00731E87" w14:paraId="7AA6C695" w14:textId="77777777" w:rsidTr="00585CDF">
        <w:tc>
          <w:tcPr>
            <w:tcW w:w="5812" w:type="dxa"/>
          </w:tcPr>
          <w:p w14:paraId="7A0F5325" w14:textId="4FE319F3" w:rsidR="00731E87" w:rsidRDefault="00633698" w:rsidP="0064602E">
            <w:pPr>
              <w:jc w:val="both"/>
              <w:rPr>
                <w:rFonts w:cstheme="minorHAnsi"/>
              </w:rPr>
            </w:pPr>
            <w:r>
              <w:t>NPA Exercise and Fitness</w:t>
            </w:r>
            <w:r w:rsidR="00731E87" w:rsidRPr="0085665C">
              <w:t xml:space="preserve"> Leadership</w:t>
            </w:r>
          </w:p>
        </w:tc>
        <w:tc>
          <w:tcPr>
            <w:tcW w:w="3402" w:type="dxa"/>
          </w:tcPr>
          <w:p w14:paraId="38F59978" w14:textId="5C25088C" w:rsidR="00731E87" w:rsidRDefault="00633698" w:rsidP="0064602E">
            <w:pPr>
              <w:jc w:val="center"/>
              <w:rPr>
                <w:rFonts w:cstheme="minorHAnsi"/>
              </w:rPr>
            </w:pPr>
            <w:r>
              <w:rPr>
                <w:rFonts w:cstheme="minorHAnsi"/>
              </w:rPr>
              <w:t>26</w:t>
            </w:r>
          </w:p>
        </w:tc>
      </w:tr>
      <w:tr w:rsidR="00731E87" w14:paraId="6510D0EF" w14:textId="77777777" w:rsidTr="00585CDF">
        <w:tc>
          <w:tcPr>
            <w:tcW w:w="5812" w:type="dxa"/>
            <w:tcBorders>
              <w:bottom w:val="single" w:sz="4" w:space="0" w:color="auto"/>
            </w:tcBorders>
          </w:tcPr>
          <w:p w14:paraId="6B1D2E9F" w14:textId="34D15D83" w:rsidR="00731E87" w:rsidRDefault="00633698" w:rsidP="0064602E">
            <w:pPr>
              <w:jc w:val="both"/>
              <w:rPr>
                <w:rFonts w:cstheme="minorHAnsi"/>
              </w:rPr>
            </w:pPr>
            <w:r>
              <w:t xml:space="preserve">L6 </w:t>
            </w:r>
            <w:r w:rsidR="00731E87" w:rsidRPr="0085665C">
              <w:t>Sports</w:t>
            </w:r>
            <w:r>
              <w:t xml:space="preserve"> Coaching</w:t>
            </w:r>
          </w:p>
        </w:tc>
        <w:tc>
          <w:tcPr>
            <w:tcW w:w="3402" w:type="dxa"/>
            <w:tcBorders>
              <w:bottom w:val="single" w:sz="4" w:space="0" w:color="auto"/>
            </w:tcBorders>
          </w:tcPr>
          <w:p w14:paraId="59928A90" w14:textId="74CD4FD9" w:rsidR="00731E87" w:rsidRDefault="00633698" w:rsidP="0064602E">
            <w:pPr>
              <w:jc w:val="center"/>
              <w:rPr>
                <w:rFonts w:cstheme="minorHAnsi"/>
              </w:rPr>
            </w:pPr>
            <w:r>
              <w:rPr>
                <w:rFonts w:cstheme="minorHAnsi"/>
              </w:rPr>
              <w:t>12</w:t>
            </w:r>
          </w:p>
        </w:tc>
      </w:tr>
      <w:tr w:rsidR="00633698" w14:paraId="532A7FFF" w14:textId="77777777" w:rsidTr="00585CDF">
        <w:tc>
          <w:tcPr>
            <w:tcW w:w="5812" w:type="dxa"/>
            <w:tcBorders>
              <w:bottom w:val="single" w:sz="4" w:space="0" w:color="auto"/>
            </w:tcBorders>
          </w:tcPr>
          <w:p w14:paraId="46FA0B6D" w14:textId="7426E848" w:rsidR="00633698" w:rsidRDefault="00633698" w:rsidP="0064602E">
            <w:pPr>
              <w:jc w:val="both"/>
            </w:pPr>
            <w:r>
              <w:t>Criminology</w:t>
            </w:r>
          </w:p>
        </w:tc>
        <w:tc>
          <w:tcPr>
            <w:tcW w:w="3402" w:type="dxa"/>
            <w:tcBorders>
              <w:bottom w:val="single" w:sz="4" w:space="0" w:color="auto"/>
            </w:tcBorders>
          </w:tcPr>
          <w:p w14:paraId="01952EA1" w14:textId="7DFC8BB0" w:rsidR="00633698" w:rsidRDefault="00633698" w:rsidP="0064602E">
            <w:pPr>
              <w:jc w:val="center"/>
              <w:rPr>
                <w:rFonts w:cstheme="minorHAnsi"/>
              </w:rPr>
            </w:pPr>
            <w:r>
              <w:rPr>
                <w:rFonts w:cstheme="minorHAnsi"/>
              </w:rPr>
              <w:t>19</w:t>
            </w:r>
          </w:p>
        </w:tc>
      </w:tr>
      <w:tr w:rsidR="00633698" w14:paraId="167DD358" w14:textId="77777777" w:rsidTr="00585CDF">
        <w:tc>
          <w:tcPr>
            <w:tcW w:w="5812" w:type="dxa"/>
            <w:tcBorders>
              <w:bottom w:val="single" w:sz="4" w:space="0" w:color="auto"/>
            </w:tcBorders>
          </w:tcPr>
          <w:p w14:paraId="04F0D6F1" w14:textId="2D72DB4F" w:rsidR="00633698" w:rsidRDefault="00633698" w:rsidP="0064602E">
            <w:pPr>
              <w:jc w:val="both"/>
            </w:pPr>
            <w:r>
              <w:t>Football Participation, Coaching and Performance</w:t>
            </w:r>
          </w:p>
        </w:tc>
        <w:tc>
          <w:tcPr>
            <w:tcW w:w="3402" w:type="dxa"/>
            <w:tcBorders>
              <w:bottom w:val="single" w:sz="4" w:space="0" w:color="auto"/>
            </w:tcBorders>
          </w:tcPr>
          <w:p w14:paraId="2672A056" w14:textId="7DC89AC8" w:rsidR="00633698" w:rsidRDefault="00633698" w:rsidP="0064602E">
            <w:pPr>
              <w:jc w:val="center"/>
              <w:rPr>
                <w:rFonts w:cstheme="minorHAnsi"/>
              </w:rPr>
            </w:pPr>
            <w:r>
              <w:rPr>
                <w:rFonts w:cstheme="minorHAnsi"/>
              </w:rPr>
              <w:t>64</w:t>
            </w:r>
          </w:p>
        </w:tc>
      </w:tr>
      <w:tr w:rsidR="00633698" w14:paraId="0EB23681" w14:textId="77777777" w:rsidTr="00585CDF">
        <w:tc>
          <w:tcPr>
            <w:tcW w:w="5812" w:type="dxa"/>
            <w:tcBorders>
              <w:bottom w:val="single" w:sz="4" w:space="0" w:color="auto"/>
            </w:tcBorders>
          </w:tcPr>
          <w:p w14:paraId="55E3BD1C" w14:textId="5AF093BE" w:rsidR="00633698" w:rsidRDefault="00633698" w:rsidP="0064602E">
            <w:pPr>
              <w:jc w:val="both"/>
            </w:pPr>
            <w:r>
              <w:t>ESOL</w:t>
            </w:r>
          </w:p>
        </w:tc>
        <w:tc>
          <w:tcPr>
            <w:tcW w:w="3402" w:type="dxa"/>
            <w:tcBorders>
              <w:bottom w:val="single" w:sz="4" w:space="0" w:color="auto"/>
            </w:tcBorders>
          </w:tcPr>
          <w:p w14:paraId="1CDABDDB" w14:textId="4B76A894" w:rsidR="00633698" w:rsidRDefault="00633698" w:rsidP="0064602E">
            <w:pPr>
              <w:jc w:val="center"/>
              <w:rPr>
                <w:rFonts w:cstheme="minorHAnsi"/>
              </w:rPr>
            </w:pPr>
            <w:r>
              <w:rPr>
                <w:rFonts w:cstheme="minorHAnsi"/>
              </w:rPr>
              <w:t>15</w:t>
            </w:r>
          </w:p>
        </w:tc>
      </w:tr>
      <w:tr w:rsidR="00633698" w14:paraId="4BD4BAA7" w14:textId="77777777" w:rsidTr="00585CDF">
        <w:tc>
          <w:tcPr>
            <w:tcW w:w="5812" w:type="dxa"/>
            <w:tcBorders>
              <w:left w:val="nil"/>
              <w:bottom w:val="nil"/>
            </w:tcBorders>
          </w:tcPr>
          <w:p w14:paraId="7C9C68CA" w14:textId="77777777" w:rsidR="00633698" w:rsidRDefault="00633698" w:rsidP="0064602E">
            <w:pPr>
              <w:jc w:val="both"/>
            </w:pPr>
          </w:p>
        </w:tc>
        <w:tc>
          <w:tcPr>
            <w:tcW w:w="3402" w:type="dxa"/>
            <w:tcBorders>
              <w:bottom w:val="single" w:sz="4" w:space="0" w:color="auto"/>
            </w:tcBorders>
          </w:tcPr>
          <w:p w14:paraId="176D013A" w14:textId="6F8190AD" w:rsidR="00633698" w:rsidRDefault="00633698" w:rsidP="0064602E">
            <w:pPr>
              <w:jc w:val="center"/>
              <w:rPr>
                <w:rFonts w:cstheme="minorHAnsi"/>
              </w:rPr>
            </w:pPr>
            <w:r>
              <w:rPr>
                <w:rFonts w:cstheme="minorHAnsi"/>
              </w:rPr>
              <w:t>562</w:t>
            </w:r>
          </w:p>
        </w:tc>
      </w:tr>
      <w:tr w:rsidR="00731E87" w14:paraId="5571CC12" w14:textId="77777777" w:rsidTr="00585CDF">
        <w:tc>
          <w:tcPr>
            <w:tcW w:w="5812" w:type="dxa"/>
            <w:tcBorders>
              <w:top w:val="nil"/>
              <w:left w:val="nil"/>
              <w:bottom w:val="nil"/>
              <w:right w:val="nil"/>
            </w:tcBorders>
          </w:tcPr>
          <w:p w14:paraId="512C5D81" w14:textId="77777777" w:rsidR="00731E87" w:rsidRDefault="00731E87" w:rsidP="0064602E">
            <w:pPr>
              <w:jc w:val="both"/>
              <w:rPr>
                <w:rFonts w:cstheme="minorHAnsi"/>
              </w:rPr>
            </w:pPr>
          </w:p>
        </w:tc>
        <w:tc>
          <w:tcPr>
            <w:tcW w:w="3402" w:type="dxa"/>
            <w:tcBorders>
              <w:left w:val="nil"/>
              <w:bottom w:val="nil"/>
              <w:right w:val="nil"/>
            </w:tcBorders>
          </w:tcPr>
          <w:p w14:paraId="2E0C014B" w14:textId="77777777" w:rsidR="00731E87" w:rsidRDefault="00731E87" w:rsidP="0064602E">
            <w:pPr>
              <w:jc w:val="center"/>
              <w:rPr>
                <w:rFonts w:cstheme="minorHAnsi"/>
              </w:rPr>
            </w:pPr>
          </w:p>
        </w:tc>
      </w:tr>
      <w:bookmarkEnd w:id="0"/>
    </w:tbl>
    <w:p w14:paraId="09AEA3E3" w14:textId="3514DAFA" w:rsidR="0064602E" w:rsidRDefault="0064602E" w:rsidP="0064602E">
      <w:pPr>
        <w:spacing w:after="0" w:line="240" w:lineRule="auto"/>
        <w:ind w:left="567" w:hanging="567"/>
        <w:jc w:val="both"/>
        <w:rPr>
          <w:rFonts w:cstheme="minorHAnsi"/>
          <w:b/>
        </w:rPr>
      </w:pPr>
    </w:p>
    <w:p w14:paraId="75E7A58E" w14:textId="77777777" w:rsidR="0064602E" w:rsidRDefault="007335D0" w:rsidP="00C13590">
      <w:pPr>
        <w:spacing w:after="0" w:line="240" w:lineRule="auto"/>
        <w:ind w:left="567" w:hanging="567"/>
        <w:jc w:val="both"/>
        <w:rPr>
          <w:rFonts w:cstheme="minorHAnsi"/>
        </w:rPr>
      </w:pPr>
      <w:r w:rsidRPr="0064602E">
        <w:rPr>
          <w:rFonts w:cstheme="minorHAnsi"/>
          <w:b/>
        </w:rPr>
        <w:t xml:space="preserve">NCL </w:t>
      </w:r>
      <w:r w:rsidR="009D0CE6" w:rsidRPr="0064602E">
        <w:rPr>
          <w:rFonts w:cstheme="minorHAnsi"/>
          <w:b/>
        </w:rPr>
        <w:t>ASN</w:t>
      </w:r>
    </w:p>
    <w:tbl>
      <w:tblPr>
        <w:tblStyle w:val="TableGrid"/>
        <w:tblW w:w="9214" w:type="dxa"/>
        <w:tblInd w:w="-5" w:type="dxa"/>
        <w:tblLook w:val="04A0" w:firstRow="1" w:lastRow="0" w:firstColumn="1" w:lastColumn="0" w:noHBand="0" w:noVBand="1"/>
      </w:tblPr>
      <w:tblGrid>
        <w:gridCol w:w="5812"/>
        <w:gridCol w:w="3402"/>
      </w:tblGrid>
      <w:tr w:rsidR="00731E87" w:rsidRPr="007D1BB8" w14:paraId="60FD44BE" w14:textId="77777777" w:rsidTr="00585CDF">
        <w:tc>
          <w:tcPr>
            <w:tcW w:w="5812" w:type="dxa"/>
            <w:shd w:val="clear" w:color="auto" w:fill="BFBFBF" w:themeFill="background1" w:themeFillShade="BF"/>
          </w:tcPr>
          <w:p w14:paraId="52C73783" w14:textId="77777777" w:rsidR="00731E87" w:rsidRPr="007D1BB8" w:rsidRDefault="00731E87" w:rsidP="00717E68">
            <w:pPr>
              <w:jc w:val="center"/>
              <w:rPr>
                <w:rFonts w:cstheme="minorHAnsi"/>
                <w:b/>
              </w:rPr>
            </w:pPr>
            <w:r w:rsidRPr="007D1BB8">
              <w:rPr>
                <w:rFonts w:cstheme="minorHAnsi"/>
                <w:b/>
              </w:rPr>
              <w:t>Course</w:t>
            </w:r>
          </w:p>
        </w:tc>
        <w:tc>
          <w:tcPr>
            <w:tcW w:w="3402" w:type="dxa"/>
            <w:shd w:val="clear" w:color="auto" w:fill="BFBFBF" w:themeFill="background1" w:themeFillShade="BF"/>
          </w:tcPr>
          <w:p w14:paraId="3FA99167" w14:textId="77777777" w:rsidR="00731E87" w:rsidRPr="007D1BB8" w:rsidRDefault="00731E87" w:rsidP="00717E68">
            <w:pPr>
              <w:jc w:val="center"/>
              <w:rPr>
                <w:rFonts w:cstheme="minorHAnsi"/>
                <w:b/>
              </w:rPr>
            </w:pPr>
            <w:r w:rsidRPr="007D1BB8">
              <w:rPr>
                <w:rFonts w:cstheme="minorHAnsi"/>
                <w:b/>
              </w:rPr>
              <w:t>No. of class groups</w:t>
            </w:r>
          </w:p>
        </w:tc>
      </w:tr>
      <w:tr w:rsidR="00731E87" w:rsidRPr="00C624FC" w14:paraId="10FBEA7A" w14:textId="77777777" w:rsidTr="00585CDF">
        <w:tc>
          <w:tcPr>
            <w:tcW w:w="5812" w:type="dxa"/>
            <w:vAlign w:val="bottom"/>
          </w:tcPr>
          <w:p w14:paraId="6F431D57" w14:textId="77777777" w:rsidR="00731E87" w:rsidRDefault="00731E87" w:rsidP="0064602E">
            <w:pPr>
              <w:jc w:val="both"/>
              <w:rPr>
                <w:rFonts w:ascii="Calibri" w:hAnsi="Calibri" w:cs="Calibri"/>
                <w:color w:val="000000"/>
              </w:rPr>
            </w:pPr>
            <w:r w:rsidRPr="006464F4">
              <w:rPr>
                <w:rFonts w:ascii="Calibri" w:hAnsi="Calibri" w:cs="Calibri"/>
                <w:color w:val="000000"/>
              </w:rPr>
              <w:t>Robotics</w:t>
            </w:r>
          </w:p>
        </w:tc>
        <w:tc>
          <w:tcPr>
            <w:tcW w:w="3402" w:type="dxa"/>
          </w:tcPr>
          <w:p w14:paraId="7CC97728" w14:textId="15BB3D0E" w:rsidR="00731E87" w:rsidRDefault="00731E87" w:rsidP="0064602E">
            <w:pPr>
              <w:jc w:val="center"/>
              <w:rPr>
                <w:rFonts w:cstheme="minorHAnsi"/>
              </w:rPr>
            </w:pPr>
            <w:r>
              <w:rPr>
                <w:rFonts w:cstheme="minorHAnsi"/>
              </w:rPr>
              <w:t>7</w:t>
            </w:r>
          </w:p>
        </w:tc>
      </w:tr>
      <w:tr w:rsidR="00731E87" w:rsidRPr="00C624FC" w14:paraId="0AF57F16" w14:textId="77777777" w:rsidTr="00585CDF">
        <w:tc>
          <w:tcPr>
            <w:tcW w:w="5812" w:type="dxa"/>
            <w:vAlign w:val="bottom"/>
          </w:tcPr>
          <w:p w14:paraId="2B5F0DD5" w14:textId="77777777" w:rsidR="00731E87" w:rsidRDefault="00731E87" w:rsidP="0064602E">
            <w:pPr>
              <w:jc w:val="both"/>
              <w:rPr>
                <w:rFonts w:cstheme="minorHAnsi"/>
              </w:rPr>
            </w:pPr>
            <w:r>
              <w:rPr>
                <w:rFonts w:ascii="Calibri" w:hAnsi="Calibri" w:cs="Calibri"/>
                <w:color w:val="000000"/>
              </w:rPr>
              <w:t>Hospitality</w:t>
            </w:r>
          </w:p>
        </w:tc>
        <w:tc>
          <w:tcPr>
            <w:tcW w:w="3402" w:type="dxa"/>
          </w:tcPr>
          <w:p w14:paraId="78A2711A" w14:textId="7326D2A8" w:rsidR="00731E87" w:rsidRDefault="00731E87" w:rsidP="0064602E">
            <w:pPr>
              <w:jc w:val="center"/>
              <w:rPr>
                <w:rFonts w:cstheme="minorHAnsi"/>
              </w:rPr>
            </w:pPr>
            <w:r>
              <w:rPr>
                <w:rFonts w:cstheme="minorHAnsi"/>
              </w:rPr>
              <w:t>17</w:t>
            </w:r>
          </w:p>
        </w:tc>
      </w:tr>
      <w:tr w:rsidR="00731E87" w:rsidRPr="00C624FC" w14:paraId="63C70F2D" w14:textId="77777777" w:rsidTr="00585CDF">
        <w:tc>
          <w:tcPr>
            <w:tcW w:w="5812" w:type="dxa"/>
            <w:vAlign w:val="bottom"/>
          </w:tcPr>
          <w:p w14:paraId="071912BD" w14:textId="77777777" w:rsidR="00731E87" w:rsidRDefault="00731E87" w:rsidP="0064602E">
            <w:pPr>
              <w:jc w:val="both"/>
              <w:rPr>
                <w:rFonts w:cstheme="minorHAnsi"/>
              </w:rPr>
            </w:pPr>
            <w:r>
              <w:rPr>
                <w:rFonts w:ascii="Calibri" w:hAnsi="Calibri" w:cs="Calibri"/>
                <w:color w:val="000000"/>
              </w:rPr>
              <w:t>Digital Media</w:t>
            </w:r>
          </w:p>
        </w:tc>
        <w:tc>
          <w:tcPr>
            <w:tcW w:w="3402" w:type="dxa"/>
          </w:tcPr>
          <w:p w14:paraId="67F0826C" w14:textId="2D1E44B1" w:rsidR="00731E87" w:rsidRDefault="00731E87" w:rsidP="0064602E">
            <w:pPr>
              <w:jc w:val="center"/>
              <w:rPr>
                <w:rFonts w:cstheme="minorHAnsi"/>
              </w:rPr>
            </w:pPr>
            <w:r>
              <w:rPr>
                <w:rFonts w:cstheme="minorHAnsi"/>
              </w:rPr>
              <w:t>10</w:t>
            </w:r>
          </w:p>
        </w:tc>
      </w:tr>
      <w:tr w:rsidR="00731E87" w14:paraId="3B5684CE" w14:textId="77777777" w:rsidTr="00585CDF">
        <w:tc>
          <w:tcPr>
            <w:tcW w:w="5812" w:type="dxa"/>
            <w:vAlign w:val="bottom"/>
          </w:tcPr>
          <w:p w14:paraId="669E1BD2" w14:textId="77777777" w:rsidR="00731E87" w:rsidRDefault="00731E87" w:rsidP="0064602E">
            <w:pPr>
              <w:jc w:val="both"/>
              <w:rPr>
                <w:rFonts w:cstheme="minorHAnsi"/>
              </w:rPr>
            </w:pPr>
            <w:r>
              <w:rPr>
                <w:rFonts w:ascii="Calibri" w:hAnsi="Calibri" w:cs="Calibri"/>
                <w:color w:val="000000"/>
              </w:rPr>
              <w:t>Childcare</w:t>
            </w:r>
          </w:p>
        </w:tc>
        <w:tc>
          <w:tcPr>
            <w:tcW w:w="3402" w:type="dxa"/>
          </w:tcPr>
          <w:p w14:paraId="5A9E2566" w14:textId="068B67EB" w:rsidR="00731E87" w:rsidRDefault="00731E87" w:rsidP="0064602E">
            <w:pPr>
              <w:jc w:val="center"/>
              <w:rPr>
                <w:rFonts w:cstheme="minorHAnsi"/>
              </w:rPr>
            </w:pPr>
            <w:r>
              <w:rPr>
                <w:rFonts w:cstheme="minorHAnsi"/>
              </w:rPr>
              <w:t>9</w:t>
            </w:r>
          </w:p>
        </w:tc>
      </w:tr>
      <w:tr w:rsidR="00731E87" w14:paraId="7FAA8605" w14:textId="77777777" w:rsidTr="00585CDF">
        <w:tc>
          <w:tcPr>
            <w:tcW w:w="5812" w:type="dxa"/>
            <w:vAlign w:val="bottom"/>
          </w:tcPr>
          <w:p w14:paraId="0131A350" w14:textId="77777777" w:rsidR="00731E87" w:rsidRDefault="00731E87" w:rsidP="0064602E">
            <w:pPr>
              <w:jc w:val="both"/>
              <w:rPr>
                <w:rFonts w:cstheme="minorHAnsi"/>
              </w:rPr>
            </w:pPr>
            <w:r>
              <w:rPr>
                <w:rFonts w:ascii="Calibri" w:hAnsi="Calibri" w:cs="Calibri"/>
                <w:color w:val="000000"/>
              </w:rPr>
              <w:t>Sport &amp; Fitness</w:t>
            </w:r>
          </w:p>
        </w:tc>
        <w:tc>
          <w:tcPr>
            <w:tcW w:w="3402" w:type="dxa"/>
          </w:tcPr>
          <w:p w14:paraId="6852EAAF" w14:textId="336C7DE7" w:rsidR="00731E87" w:rsidRDefault="00731E87" w:rsidP="0064602E">
            <w:pPr>
              <w:jc w:val="center"/>
              <w:rPr>
                <w:rFonts w:cstheme="minorHAnsi"/>
              </w:rPr>
            </w:pPr>
            <w:r>
              <w:rPr>
                <w:rFonts w:cstheme="minorHAnsi"/>
              </w:rPr>
              <w:t>10</w:t>
            </w:r>
          </w:p>
        </w:tc>
      </w:tr>
      <w:tr w:rsidR="00731E87" w14:paraId="4B1684ED" w14:textId="77777777" w:rsidTr="00585CDF">
        <w:tc>
          <w:tcPr>
            <w:tcW w:w="5812" w:type="dxa"/>
            <w:tcBorders>
              <w:bottom w:val="single" w:sz="4" w:space="0" w:color="auto"/>
            </w:tcBorders>
            <w:vAlign w:val="bottom"/>
          </w:tcPr>
          <w:p w14:paraId="4BE47B35" w14:textId="77777777" w:rsidR="00731E87" w:rsidRDefault="00731E87" w:rsidP="0064602E">
            <w:pPr>
              <w:jc w:val="both"/>
              <w:rPr>
                <w:rFonts w:cstheme="minorHAnsi"/>
              </w:rPr>
            </w:pPr>
            <w:r>
              <w:rPr>
                <w:rFonts w:ascii="Calibri" w:hAnsi="Calibri" w:cs="Calibri"/>
                <w:color w:val="000000"/>
              </w:rPr>
              <w:t>Hairdressing</w:t>
            </w:r>
          </w:p>
        </w:tc>
        <w:tc>
          <w:tcPr>
            <w:tcW w:w="3402" w:type="dxa"/>
          </w:tcPr>
          <w:p w14:paraId="175770CE" w14:textId="2429E550" w:rsidR="00731E87" w:rsidRDefault="00731E87" w:rsidP="0064602E">
            <w:pPr>
              <w:jc w:val="center"/>
              <w:rPr>
                <w:rFonts w:cstheme="minorHAnsi"/>
              </w:rPr>
            </w:pPr>
            <w:r>
              <w:rPr>
                <w:rFonts w:cstheme="minorHAnsi"/>
              </w:rPr>
              <w:t>10</w:t>
            </w:r>
          </w:p>
        </w:tc>
      </w:tr>
      <w:tr w:rsidR="00731E87" w14:paraId="4A2233A6" w14:textId="77777777" w:rsidTr="00585CDF">
        <w:tc>
          <w:tcPr>
            <w:tcW w:w="5812" w:type="dxa"/>
            <w:tcBorders>
              <w:left w:val="nil"/>
              <w:bottom w:val="nil"/>
            </w:tcBorders>
            <w:vAlign w:val="bottom"/>
          </w:tcPr>
          <w:p w14:paraId="680E8B7C" w14:textId="77777777" w:rsidR="00731E87" w:rsidRDefault="00731E87" w:rsidP="0064602E">
            <w:pPr>
              <w:jc w:val="both"/>
              <w:rPr>
                <w:rFonts w:ascii="Calibri" w:hAnsi="Calibri" w:cs="Calibri"/>
                <w:color w:val="000000"/>
              </w:rPr>
            </w:pPr>
          </w:p>
        </w:tc>
        <w:tc>
          <w:tcPr>
            <w:tcW w:w="3402" w:type="dxa"/>
          </w:tcPr>
          <w:p w14:paraId="110A105B" w14:textId="1071564F" w:rsidR="00731E87" w:rsidRDefault="00731E87" w:rsidP="0064602E">
            <w:pPr>
              <w:jc w:val="center"/>
              <w:rPr>
                <w:rFonts w:cstheme="minorHAnsi"/>
              </w:rPr>
            </w:pPr>
            <w:r>
              <w:rPr>
                <w:rFonts w:cstheme="minorHAnsi"/>
              </w:rPr>
              <w:t>63</w:t>
            </w:r>
          </w:p>
        </w:tc>
      </w:tr>
      <w:tr w:rsidR="00731E87" w14:paraId="02100EC2" w14:textId="77777777" w:rsidTr="00585CDF">
        <w:tc>
          <w:tcPr>
            <w:tcW w:w="5812" w:type="dxa"/>
            <w:tcBorders>
              <w:top w:val="nil"/>
              <w:left w:val="nil"/>
              <w:bottom w:val="nil"/>
              <w:right w:val="nil"/>
            </w:tcBorders>
          </w:tcPr>
          <w:p w14:paraId="6FCE2D0F" w14:textId="77777777" w:rsidR="00731E87" w:rsidRDefault="00731E87" w:rsidP="0064602E">
            <w:pPr>
              <w:jc w:val="both"/>
              <w:rPr>
                <w:rFonts w:cstheme="minorHAnsi"/>
              </w:rPr>
            </w:pPr>
          </w:p>
        </w:tc>
        <w:tc>
          <w:tcPr>
            <w:tcW w:w="3402" w:type="dxa"/>
            <w:tcBorders>
              <w:left w:val="nil"/>
              <w:bottom w:val="nil"/>
              <w:right w:val="nil"/>
            </w:tcBorders>
          </w:tcPr>
          <w:p w14:paraId="53A38B63" w14:textId="77777777" w:rsidR="00731E87" w:rsidRDefault="00731E87" w:rsidP="0064602E">
            <w:pPr>
              <w:jc w:val="center"/>
              <w:rPr>
                <w:rFonts w:cstheme="minorHAnsi"/>
              </w:rPr>
            </w:pPr>
          </w:p>
        </w:tc>
      </w:tr>
    </w:tbl>
    <w:p w14:paraId="3D12D822" w14:textId="6708D7C2" w:rsidR="0064602E" w:rsidRDefault="0064602E" w:rsidP="00C13590">
      <w:pPr>
        <w:spacing w:after="0" w:line="240" w:lineRule="auto"/>
        <w:ind w:left="567" w:hanging="567"/>
        <w:jc w:val="both"/>
        <w:rPr>
          <w:rFonts w:cstheme="minorHAnsi"/>
        </w:rPr>
      </w:pPr>
    </w:p>
    <w:p w14:paraId="594A1D1E" w14:textId="022AAF49" w:rsidR="00731E87" w:rsidRDefault="00731E87" w:rsidP="00C13590">
      <w:pPr>
        <w:spacing w:after="0" w:line="240" w:lineRule="auto"/>
        <w:ind w:left="567" w:hanging="567"/>
        <w:jc w:val="both"/>
        <w:rPr>
          <w:rFonts w:cstheme="minorHAnsi"/>
          <w:b/>
        </w:rPr>
      </w:pPr>
      <w:r w:rsidRPr="00731E87">
        <w:rPr>
          <w:rFonts w:cstheme="minorHAnsi"/>
          <w:b/>
        </w:rPr>
        <w:t>EDC</w:t>
      </w:r>
    </w:p>
    <w:tbl>
      <w:tblPr>
        <w:tblStyle w:val="TableGrid"/>
        <w:tblW w:w="9214" w:type="dxa"/>
        <w:tblInd w:w="-5" w:type="dxa"/>
        <w:tblLook w:val="04A0" w:firstRow="1" w:lastRow="0" w:firstColumn="1" w:lastColumn="0" w:noHBand="0" w:noVBand="1"/>
      </w:tblPr>
      <w:tblGrid>
        <w:gridCol w:w="5812"/>
        <w:gridCol w:w="3402"/>
      </w:tblGrid>
      <w:tr w:rsidR="00633698" w:rsidRPr="007D1BB8" w14:paraId="0B329469" w14:textId="77777777" w:rsidTr="00585CDF">
        <w:tc>
          <w:tcPr>
            <w:tcW w:w="5812" w:type="dxa"/>
            <w:shd w:val="clear" w:color="auto" w:fill="BFBFBF" w:themeFill="background1" w:themeFillShade="BF"/>
          </w:tcPr>
          <w:p w14:paraId="3F5DB30A" w14:textId="77777777" w:rsidR="00633698" w:rsidRPr="007D1BB8" w:rsidRDefault="00633698" w:rsidP="00D03247">
            <w:pPr>
              <w:jc w:val="center"/>
              <w:rPr>
                <w:rFonts w:cstheme="minorHAnsi"/>
                <w:b/>
              </w:rPr>
            </w:pPr>
            <w:r w:rsidRPr="007D1BB8">
              <w:rPr>
                <w:rFonts w:cstheme="minorHAnsi"/>
                <w:b/>
              </w:rPr>
              <w:t>Course</w:t>
            </w:r>
          </w:p>
        </w:tc>
        <w:tc>
          <w:tcPr>
            <w:tcW w:w="3402" w:type="dxa"/>
            <w:shd w:val="clear" w:color="auto" w:fill="BFBFBF" w:themeFill="background1" w:themeFillShade="BF"/>
          </w:tcPr>
          <w:p w14:paraId="08AA6007" w14:textId="77777777" w:rsidR="00633698" w:rsidRPr="007D1BB8" w:rsidRDefault="00633698" w:rsidP="00D03247">
            <w:pPr>
              <w:jc w:val="center"/>
              <w:rPr>
                <w:rFonts w:cstheme="minorHAnsi"/>
                <w:b/>
              </w:rPr>
            </w:pPr>
            <w:r w:rsidRPr="007D1BB8">
              <w:rPr>
                <w:rFonts w:cstheme="minorHAnsi"/>
                <w:b/>
              </w:rPr>
              <w:t>No. of class groups</w:t>
            </w:r>
          </w:p>
        </w:tc>
      </w:tr>
      <w:tr w:rsidR="00633698" w:rsidRPr="00C624FC" w14:paraId="3C18B445" w14:textId="77777777" w:rsidTr="00585CDF">
        <w:tc>
          <w:tcPr>
            <w:tcW w:w="5812" w:type="dxa"/>
            <w:vAlign w:val="bottom"/>
          </w:tcPr>
          <w:p w14:paraId="2E742589" w14:textId="478DC27C" w:rsidR="00633698" w:rsidRDefault="00633698" w:rsidP="00D03247">
            <w:pPr>
              <w:jc w:val="both"/>
              <w:rPr>
                <w:rFonts w:ascii="Calibri" w:hAnsi="Calibri" w:cs="Calibri"/>
                <w:color w:val="000000"/>
              </w:rPr>
            </w:pPr>
            <w:r>
              <w:rPr>
                <w:rFonts w:ascii="Calibri" w:hAnsi="Calibri" w:cs="Calibri"/>
                <w:color w:val="000000"/>
              </w:rPr>
              <w:t>Hair and Beauty</w:t>
            </w:r>
          </w:p>
        </w:tc>
        <w:tc>
          <w:tcPr>
            <w:tcW w:w="3402" w:type="dxa"/>
          </w:tcPr>
          <w:p w14:paraId="38D0C4BF" w14:textId="65F5EBE5" w:rsidR="00633698" w:rsidRDefault="00633698" w:rsidP="00D03247">
            <w:pPr>
              <w:jc w:val="center"/>
              <w:rPr>
                <w:rFonts w:cstheme="minorHAnsi"/>
              </w:rPr>
            </w:pPr>
            <w:r>
              <w:rPr>
                <w:rFonts w:cstheme="minorHAnsi"/>
              </w:rPr>
              <w:t>34</w:t>
            </w:r>
          </w:p>
        </w:tc>
      </w:tr>
      <w:tr w:rsidR="00633698" w14:paraId="10BAA22E" w14:textId="77777777" w:rsidTr="00585CDF">
        <w:tc>
          <w:tcPr>
            <w:tcW w:w="5812" w:type="dxa"/>
            <w:tcBorders>
              <w:left w:val="nil"/>
              <w:bottom w:val="nil"/>
              <w:right w:val="nil"/>
            </w:tcBorders>
          </w:tcPr>
          <w:p w14:paraId="3C50B97A" w14:textId="77777777" w:rsidR="00633698" w:rsidRDefault="00633698" w:rsidP="00D03247">
            <w:pPr>
              <w:jc w:val="both"/>
              <w:rPr>
                <w:rFonts w:cstheme="minorHAnsi"/>
              </w:rPr>
            </w:pPr>
          </w:p>
        </w:tc>
        <w:tc>
          <w:tcPr>
            <w:tcW w:w="3402" w:type="dxa"/>
            <w:tcBorders>
              <w:left w:val="nil"/>
              <w:bottom w:val="nil"/>
              <w:right w:val="nil"/>
            </w:tcBorders>
          </w:tcPr>
          <w:p w14:paraId="7FE86012" w14:textId="77777777" w:rsidR="00633698" w:rsidRDefault="00633698" w:rsidP="00D03247">
            <w:pPr>
              <w:jc w:val="center"/>
              <w:rPr>
                <w:rFonts w:cstheme="minorHAnsi"/>
              </w:rPr>
            </w:pPr>
          </w:p>
        </w:tc>
      </w:tr>
    </w:tbl>
    <w:p w14:paraId="3A9324B7" w14:textId="39F445DE" w:rsidR="00731E87" w:rsidRDefault="00731E87" w:rsidP="00C13590">
      <w:pPr>
        <w:spacing w:after="0" w:line="240" w:lineRule="auto"/>
        <w:ind w:left="567" w:hanging="567"/>
        <w:jc w:val="both"/>
        <w:rPr>
          <w:rFonts w:cstheme="minorHAnsi"/>
          <w:b/>
        </w:rPr>
      </w:pPr>
    </w:p>
    <w:p w14:paraId="64589971" w14:textId="31048B9C" w:rsidR="00731E87" w:rsidRPr="00731E87" w:rsidRDefault="00731E87" w:rsidP="0064602E">
      <w:pPr>
        <w:spacing w:after="0" w:line="240" w:lineRule="auto"/>
        <w:ind w:left="567" w:hanging="567"/>
        <w:jc w:val="both"/>
        <w:rPr>
          <w:rFonts w:cstheme="minorHAnsi"/>
          <w:b/>
        </w:rPr>
      </w:pPr>
      <w:r w:rsidRPr="00731E87">
        <w:rPr>
          <w:rFonts w:cstheme="minorHAnsi"/>
          <w:b/>
        </w:rPr>
        <w:t>DYW Live</w:t>
      </w:r>
    </w:p>
    <w:p w14:paraId="166CA056" w14:textId="604FD3B7" w:rsidR="00731E87" w:rsidRDefault="00731E87" w:rsidP="0064602E">
      <w:pPr>
        <w:spacing w:after="0" w:line="240" w:lineRule="auto"/>
        <w:ind w:left="567" w:hanging="567"/>
        <w:jc w:val="both"/>
        <w:rPr>
          <w:rFonts w:cstheme="minorHAnsi"/>
        </w:rPr>
      </w:pPr>
    </w:p>
    <w:tbl>
      <w:tblPr>
        <w:tblStyle w:val="TableGrid"/>
        <w:tblW w:w="9214" w:type="dxa"/>
        <w:tblInd w:w="-5" w:type="dxa"/>
        <w:tblLook w:val="04A0" w:firstRow="1" w:lastRow="0" w:firstColumn="1" w:lastColumn="0" w:noHBand="0" w:noVBand="1"/>
      </w:tblPr>
      <w:tblGrid>
        <w:gridCol w:w="5812"/>
        <w:gridCol w:w="3402"/>
      </w:tblGrid>
      <w:tr w:rsidR="00731E87" w:rsidRPr="007D1BB8" w14:paraId="644E45E1" w14:textId="77777777" w:rsidTr="00585CDF">
        <w:tc>
          <w:tcPr>
            <w:tcW w:w="5812" w:type="dxa"/>
            <w:shd w:val="clear" w:color="auto" w:fill="BFBFBF" w:themeFill="background1" w:themeFillShade="BF"/>
          </w:tcPr>
          <w:p w14:paraId="4C1216CB" w14:textId="77777777" w:rsidR="00731E87" w:rsidRPr="007D1BB8" w:rsidRDefault="00731E87" w:rsidP="00D03247">
            <w:pPr>
              <w:jc w:val="center"/>
              <w:rPr>
                <w:rFonts w:cstheme="minorHAnsi"/>
                <w:b/>
              </w:rPr>
            </w:pPr>
            <w:r w:rsidRPr="007D1BB8">
              <w:rPr>
                <w:rFonts w:cstheme="minorHAnsi"/>
                <w:b/>
              </w:rPr>
              <w:t>Course</w:t>
            </w:r>
          </w:p>
        </w:tc>
        <w:tc>
          <w:tcPr>
            <w:tcW w:w="3402" w:type="dxa"/>
            <w:shd w:val="clear" w:color="auto" w:fill="BFBFBF" w:themeFill="background1" w:themeFillShade="BF"/>
          </w:tcPr>
          <w:p w14:paraId="6D014202" w14:textId="77777777" w:rsidR="00731E87" w:rsidRPr="007D1BB8" w:rsidRDefault="00731E87" w:rsidP="00D03247">
            <w:pPr>
              <w:jc w:val="center"/>
              <w:rPr>
                <w:rFonts w:cstheme="minorHAnsi"/>
                <w:b/>
              </w:rPr>
            </w:pPr>
            <w:r>
              <w:rPr>
                <w:rFonts w:cstheme="minorHAnsi"/>
                <w:b/>
              </w:rPr>
              <w:t>Projected Enrolments</w:t>
            </w:r>
          </w:p>
        </w:tc>
      </w:tr>
      <w:tr w:rsidR="00731E87" w:rsidRPr="00C624FC" w14:paraId="5162954D" w14:textId="77777777" w:rsidTr="00585CDF">
        <w:tc>
          <w:tcPr>
            <w:tcW w:w="5812" w:type="dxa"/>
            <w:vAlign w:val="bottom"/>
          </w:tcPr>
          <w:p w14:paraId="29DBAC05" w14:textId="1CA82AB4" w:rsidR="00731E87" w:rsidRPr="00731E87" w:rsidRDefault="00731E87" w:rsidP="00D03247">
            <w:pPr>
              <w:rPr>
                <w:rFonts w:cstheme="minorHAnsi"/>
              </w:rPr>
            </w:pPr>
            <w:r w:rsidRPr="00731E87">
              <w:rPr>
                <w:rFonts w:cstheme="minorHAnsi"/>
              </w:rPr>
              <w:t>Introduction to Criminology/Psychology</w:t>
            </w:r>
          </w:p>
        </w:tc>
        <w:tc>
          <w:tcPr>
            <w:tcW w:w="3402" w:type="dxa"/>
          </w:tcPr>
          <w:p w14:paraId="6B630924" w14:textId="1813266B" w:rsidR="00731E87" w:rsidRPr="007D1BB8" w:rsidRDefault="00731E87" w:rsidP="00D03247">
            <w:pPr>
              <w:jc w:val="center"/>
              <w:rPr>
                <w:rFonts w:cstheme="minorHAnsi"/>
              </w:rPr>
            </w:pPr>
            <w:r>
              <w:rPr>
                <w:rFonts w:cstheme="minorHAnsi"/>
              </w:rPr>
              <w:t>16</w:t>
            </w:r>
          </w:p>
        </w:tc>
      </w:tr>
      <w:tr w:rsidR="00731E87" w:rsidRPr="00C624FC" w14:paraId="0E498020" w14:textId="77777777" w:rsidTr="00585CDF">
        <w:tc>
          <w:tcPr>
            <w:tcW w:w="5812" w:type="dxa"/>
            <w:tcBorders>
              <w:bottom w:val="single" w:sz="4" w:space="0" w:color="auto"/>
            </w:tcBorders>
            <w:vAlign w:val="bottom"/>
          </w:tcPr>
          <w:p w14:paraId="4E06821D" w14:textId="7909E63C" w:rsidR="00731E87" w:rsidRPr="00731E87" w:rsidRDefault="00731E87" w:rsidP="00D03247">
            <w:pPr>
              <w:rPr>
                <w:rFonts w:cstheme="minorHAnsi"/>
              </w:rPr>
            </w:pPr>
            <w:r w:rsidRPr="00731E87">
              <w:rPr>
                <w:rFonts w:cstheme="minorHAnsi"/>
              </w:rPr>
              <w:t>NPA Legal Studies</w:t>
            </w:r>
          </w:p>
        </w:tc>
        <w:tc>
          <w:tcPr>
            <w:tcW w:w="3402" w:type="dxa"/>
          </w:tcPr>
          <w:p w14:paraId="6ABA75E3" w14:textId="566B38F9" w:rsidR="00731E87" w:rsidRPr="007D1BB8" w:rsidRDefault="00731E87" w:rsidP="00D03247">
            <w:pPr>
              <w:jc w:val="center"/>
              <w:rPr>
                <w:rFonts w:cstheme="minorHAnsi"/>
              </w:rPr>
            </w:pPr>
            <w:r>
              <w:rPr>
                <w:rFonts w:cstheme="minorHAnsi"/>
              </w:rPr>
              <w:t>16</w:t>
            </w:r>
          </w:p>
        </w:tc>
      </w:tr>
      <w:tr w:rsidR="00731E87" w:rsidRPr="00C624FC" w14:paraId="603FBF96" w14:textId="77777777" w:rsidTr="00585CDF">
        <w:tc>
          <w:tcPr>
            <w:tcW w:w="5812" w:type="dxa"/>
            <w:tcBorders>
              <w:left w:val="nil"/>
              <w:bottom w:val="nil"/>
            </w:tcBorders>
            <w:vAlign w:val="bottom"/>
          </w:tcPr>
          <w:p w14:paraId="7D1DD3C1" w14:textId="77777777" w:rsidR="00731E87" w:rsidRPr="00731E87" w:rsidRDefault="00731E87" w:rsidP="00D03247">
            <w:pPr>
              <w:rPr>
                <w:rFonts w:cstheme="minorHAnsi"/>
              </w:rPr>
            </w:pPr>
          </w:p>
        </w:tc>
        <w:tc>
          <w:tcPr>
            <w:tcW w:w="3402" w:type="dxa"/>
          </w:tcPr>
          <w:p w14:paraId="7C51914A" w14:textId="5D95CE94" w:rsidR="00731E87" w:rsidRDefault="00731E87" w:rsidP="00D03247">
            <w:pPr>
              <w:jc w:val="center"/>
              <w:rPr>
                <w:rFonts w:cstheme="minorHAnsi"/>
              </w:rPr>
            </w:pPr>
            <w:r>
              <w:rPr>
                <w:rFonts w:cstheme="minorHAnsi"/>
              </w:rPr>
              <w:t>32</w:t>
            </w:r>
          </w:p>
        </w:tc>
      </w:tr>
    </w:tbl>
    <w:p w14:paraId="7179F077" w14:textId="77777777" w:rsidR="00731E87" w:rsidRDefault="00731E87" w:rsidP="0064602E">
      <w:pPr>
        <w:spacing w:after="0" w:line="240" w:lineRule="auto"/>
        <w:ind w:left="567" w:hanging="567"/>
        <w:jc w:val="both"/>
        <w:rPr>
          <w:rFonts w:cstheme="minorHAnsi"/>
        </w:rPr>
      </w:pPr>
    </w:p>
    <w:p w14:paraId="18E4C17B" w14:textId="1B691CB6" w:rsidR="00585CDF" w:rsidRDefault="00585CDF">
      <w:pPr>
        <w:rPr>
          <w:rFonts w:cstheme="minorHAnsi"/>
        </w:rPr>
      </w:pPr>
      <w:r>
        <w:rPr>
          <w:rFonts w:cstheme="minorHAnsi"/>
        </w:rPr>
        <w:br w:type="page"/>
      </w:r>
    </w:p>
    <w:p w14:paraId="1ADF4DA0" w14:textId="77777777" w:rsidR="00C13590" w:rsidRDefault="0064602E" w:rsidP="0064602E">
      <w:pPr>
        <w:pStyle w:val="Heading3"/>
        <w:spacing w:before="0" w:line="240" w:lineRule="auto"/>
        <w:ind w:left="567" w:hanging="567"/>
        <w:rPr>
          <w:b/>
        </w:rPr>
      </w:pPr>
      <w:r>
        <w:rPr>
          <w:b/>
        </w:rPr>
        <w:t>4</w:t>
      </w:r>
      <w:r w:rsidRPr="00D4189F">
        <w:rPr>
          <w:b/>
        </w:rPr>
        <w:t>.</w:t>
      </w:r>
      <w:r w:rsidRPr="00D4189F">
        <w:rPr>
          <w:b/>
        </w:rPr>
        <w:tab/>
      </w:r>
      <w:r>
        <w:rPr>
          <w:b/>
        </w:rPr>
        <w:t>EVENTS</w:t>
      </w:r>
    </w:p>
    <w:p w14:paraId="03B1A09C" w14:textId="77777777" w:rsidR="0064602E" w:rsidRDefault="0064602E" w:rsidP="0064602E">
      <w:pPr>
        <w:spacing w:after="0" w:line="240" w:lineRule="auto"/>
      </w:pPr>
    </w:p>
    <w:p w14:paraId="506B3DF6" w14:textId="77777777" w:rsidR="00FF3A66" w:rsidRDefault="00FF3A66" w:rsidP="0064602E">
      <w:pPr>
        <w:spacing w:after="0" w:line="240" w:lineRule="auto"/>
        <w:ind w:left="567" w:hanging="567"/>
        <w:jc w:val="both"/>
        <w:rPr>
          <w:rFonts w:cstheme="minorHAnsi"/>
        </w:rPr>
      </w:pPr>
      <w:r>
        <w:rPr>
          <w:rFonts w:cstheme="minorHAnsi"/>
        </w:rPr>
        <w:t>NCL attend a large variety of school career events across the academic year.</w:t>
      </w:r>
    </w:p>
    <w:p w14:paraId="3D34F689" w14:textId="77777777" w:rsidR="009B2A36" w:rsidRDefault="009B2A36" w:rsidP="0064602E">
      <w:pPr>
        <w:spacing w:after="0" w:line="240" w:lineRule="auto"/>
        <w:ind w:left="567" w:hanging="567"/>
        <w:jc w:val="both"/>
        <w:rPr>
          <w:rFonts w:cstheme="minorHAnsi"/>
        </w:rPr>
      </w:pPr>
    </w:p>
    <w:p w14:paraId="33E2BC63" w14:textId="2FA3478A" w:rsidR="00C13590" w:rsidRDefault="00FF3A66" w:rsidP="009B2A36">
      <w:pPr>
        <w:spacing w:after="0" w:line="240" w:lineRule="auto"/>
        <w:jc w:val="both"/>
        <w:rPr>
          <w:rFonts w:cstheme="minorHAnsi"/>
        </w:rPr>
      </w:pPr>
      <w:r>
        <w:rPr>
          <w:rFonts w:cstheme="minorHAnsi"/>
        </w:rPr>
        <w:t>In 2</w:t>
      </w:r>
      <w:r w:rsidR="009B2A36">
        <w:rPr>
          <w:rFonts w:cstheme="minorHAnsi"/>
        </w:rPr>
        <w:t>02</w:t>
      </w:r>
      <w:r>
        <w:rPr>
          <w:rFonts w:cstheme="minorHAnsi"/>
        </w:rPr>
        <w:t>3/2</w:t>
      </w:r>
      <w:r w:rsidR="009B2A36">
        <w:rPr>
          <w:rFonts w:cstheme="minorHAnsi"/>
        </w:rPr>
        <w:t>02</w:t>
      </w:r>
      <w:r>
        <w:rPr>
          <w:rFonts w:cstheme="minorHAnsi"/>
        </w:rPr>
        <w:t xml:space="preserve">4, </w:t>
      </w:r>
      <w:r w:rsidR="009B2A36">
        <w:rPr>
          <w:rFonts w:cstheme="minorHAnsi"/>
        </w:rPr>
        <w:t xml:space="preserve">we </w:t>
      </w:r>
      <w:r>
        <w:rPr>
          <w:rFonts w:cstheme="minorHAnsi"/>
        </w:rPr>
        <w:t>were in attendance at 43 school career events acro</w:t>
      </w:r>
      <w:r w:rsidR="004A7030">
        <w:rPr>
          <w:rFonts w:cstheme="minorHAnsi"/>
        </w:rPr>
        <w:t>ss four local authorities: East</w:t>
      </w:r>
      <w:r w:rsidR="009B2A36">
        <w:rPr>
          <w:rFonts w:cstheme="minorHAnsi"/>
        </w:rPr>
        <w:t xml:space="preserve"> </w:t>
      </w:r>
      <w:r w:rsidR="004A7030">
        <w:rPr>
          <w:rFonts w:cstheme="minorHAnsi"/>
        </w:rPr>
        <w:t xml:space="preserve">Dunbartonshire, North Lanarkshire, South Lanarkshire and Stirling. </w:t>
      </w:r>
      <w:r w:rsidR="00AF0E6E">
        <w:rPr>
          <w:rFonts w:cstheme="minorHAnsi"/>
        </w:rPr>
        <w:t>Requests are already coming in to college for these events to be supported for 2024/2025, with some events already having taken place.</w:t>
      </w:r>
    </w:p>
    <w:p w14:paraId="25FC579F" w14:textId="5CBA2F9C" w:rsidR="00AF0E6E" w:rsidRDefault="00AF0E6E" w:rsidP="009B2A36">
      <w:pPr>
        <w:spacing w:after="0" w:line="240" w:lineRule="auto"/>
        <w:jc w:val="both"/>
        <w:rPr>
          <w:rFonts w:cstheme="minorHAnsi"/>
        </w:rPr>
      </w:pPr>
    </w:p>
    <w:p w14:paraId="1C61FAE8" w14:textId="2D10CEF0" w:rsidR="004A7030" w:rsidRDefault="00AF0E6E" w:rsidP="00AF0E6E">
      <w:pPr>
        <w:spacing w:after="0" w:line="240" w:lineRule="auto"/>
        <w:jc w:val="both"/>
        <w:rPr>
          <w:rFonts w:cstheme="minorHAnsi"/>
        </w:rPr>
      </w:pPr>
      <w:r>
        <w:rPr>
          <w:rFonts w:cstheme="minorHAnsi"/>
        </w:rPr>
        <w:t>There are plans for NCL to have a presence at the forthcoming UCAS events in September 2024 to promote our core curriculum and provide pathway information for school-leavers.</w:t>
      </w:r>
    </w:p>
    <w:p w14:paraId="2F0F60EE" w14:textId="77777777" w:rsidR="004A7030" w:rsidRDefault="004A7030" w:rsidP="0064602E">
      <w:pPr>
        <w:spacing w:after="0" w:line="240" w:lineRule="auto"/>
        <w:ind w:left="567" w:hanging="567"/>
        <w:jc w:val="both"/>
        <w:rPr>
          <w:rFonts w:cstheme="minorHAnsi"/>
        </w:rPr>
      </w:pPr>
    </w:p>
    <w:p w14:paraId="3BCF9D2E" w14:textId="5CEAFEB6" w:rsidR="004A7030" w:rsidRDefault="00AF0E6E" w:rsidP="00AF0E6E">
      <w:pPr>
        <w:spacing w:after="0" w:line="240" w:lineRule="auto"/>
        <w:jc w:val="both"/>
        <w:rPr>
          <w:rFonts w:cstheme="minorHAnsi"/>
        </w:rPr>
      </w:pPr>
      <w:r>
        <w:rPr>
          <w:rFonts w:cstheme="minorHAnsi"/>
        </w:rPr>
        <w:t>We also plan to host further Community of Practice events, targeting key strategic areas of our core curriculum to build our reputation and promote our full-time courses.</w:t>
      </w:r>
    </w:p>
    <w:p w14:paraId="26CDB81E" w14:textId="77777777" w:rsidR="004A7030" w:rsidRDefault="004A7030" w:rsidP="00C13590">
      <w:pPr>
        <w:spacing w:after="0" w:line="240" w:lineRule="auto"/>
        <w:ind w:left="567" w:hanging="567"/>
        <w:jc w:val="both"/>
        <w:rPr>
          <w:rFonts w:cstheme="minorHAnsi"/>
        </w:rPr>
      </w:pPr>
    </w:p>
    <w:p w14:paraId="20431E1B" w14:textId="77777777" w:rsidR="009B2A36" w:rsidRDefault="009B2A36" w:rsidP="009B2A36">
      <w:pPr>
        <w:spacing w:after="0" w:line="240" w:lineRule="auto"/>
        <w:ind w:left="567" w:hanging="567"/>
        <w:jc w:val="both"/>
        <w:rPr>
          <w:rFonts w:cstheme="minorHAnsi"/>
        </w:rPr>
      </w:pPr>
    </w:p>
    <w:p w14:paraId="49E6BF95" w14:textId="77777777" w:rsidR="00C13590" w:rsidRDefault="009B2A36" w:rsidP="009B2A36">
      <w:pPr>
        <w:pStyle w:val="Heading3"/>
        <w:spacing w:before="0" w:line="240" w:lineRule="auto"/>
        <w:ind w:left="567" w:hanging="567"/>
        <w:jc w:val="both"/>
        <w:rPr>
          <w:rFonts w:cstheme="minorHAnsi"/>
        </w:rPr>
      </w:pPr>
      <w:r>
        <w:rPr>
          <w:b/>
        </w:rPr>
        <w:t>5</w:t>
      </w:r>
      <w:r w:rsidRPr="00D4189F">
        <w:rPr>
          <w:b/>
        </w:rPr>
        <w:t>.</w:t>
      </w:r>
      <w:r w:rsidRPr="00D4189F">
        <w:rPr>
          <w:b/>
        </w:rPr>
        <w:tab/>
      </w:r>
      <w:r>
        <w:rPr>
          <w:b/>
        </w:rPr>
        <w:t>STEM EVENTS</w:t>
      </w:r>
    </w:p>
    <w:p w14:paraId="3450A5CD" w14:textId="77777777" w:rsidR="000A2652" w:rsidRDefault="000A2652" w:rsidP="009B2A36">
      <w:pPr>
        <w:spacing w:after="0" w:line="240" w:lineRule="auto"/>
        <w:ind w:left="567" w:hanging="567"/>
        <w:jc w:val="both"/>
        <w:rPr>
          <w:rFonts w:cstheme="minorHAnsi"/>
        </w:rPr>
      </w:pPr>
    </w:p>
    <w:p w14:paraId="577D0B0B" w14:textId="77777777" w:rsidR="00AF0E6E" w:rsidRDefault="00AF0E6E" w:rsidP="009B2A36">
      <w:pPr>
        <w:spacing w:after="0" w:line="240" w:lineRule="auto"/>
        <w:ind w:left="567" w:hanging="567"/>
        <w:jc w:val="both"/>
        <w:rPr>
          <w:rFonts w:cstheme="minorHAnsi"/>
        </w:rPr>
      </w:pPr>
      <w:r>
        <w:rPr>
          <w:rFonts w:cstheme="minorHAnsi"/>
        </w:rPr>
        <w:t xml:space="preserve">We have several STEM events planned for the year ahead. </w:t>
      </w:r>
    </w:p>
    <w:p w14:paraId="4FD96F6B" w14:textId="77777777" w:rsidR="00AF0E6E" w:rsidRDefault="00AF0E6E" w:rsidP="009B2A36">
      <w:pPr>
        <w:spacing w:after="0" w:line="240" w:lineRule="auto"/>
        <w:ind w:left="567" w:hanging="567"/>
        <w:jc w:val="both"/>
        <w:rPr>
          <w:rFonts w:cstheme="minorHAnsi"/>
        </w:rPr>
      </w:pPr>
    </w:p>
    <w:p w14:paraId="1B02774A" w14:textId="77777777" w:rsidR="00AF0E6E" w:rsidRDefault="00AF0E6E" w:rsidP="00585CDF">
      <w:pPr>
        <w:spacing w:after="0" w:line="240" w:lineRule="auto"/>
        <w:ind w:left="567" w:hanging="567"/>
        <w:jc w:val="both"/>
        <w:rPr>
          <w:rFonts w:cstheme="minorHAnsi"/>
        </w:rPr>
      </w:pPr>
      <w:r>
        <w:rPr>
          <w:rFonts w:cstheme="minorHAnsi"/>
        </w:rPr>
        <w:t>The first event will take place on 5</w:t>
      </w:r>
      <w:r w:rsidRPr="00AF0E6E">
        <w:rPr>
          <w:rFonts w:cstheme="minorHAnsi"/>
          <w:vertAlign w:val="superscript"/>
        </w:rPr>
        <w:t>th</w:t>
      </w:r>
      <w:r>
        <w:rPr>
          <w:rFonts w:cstheme="minorHAnsi"/>
        </w:rPr>
        <w:t xml:space="preserve"> October 2024 in our Motherwell Campus. This is partnership with</w:t>
      </w:r>
    </w:p>
    <w:p w14:paraId="55B7EF3E" w14:textId="77777777" w:rsidR="00734B4B" w:rsidRDefault="00AF0E6E" w:rsidP="00585CDF">
      <w:pPr>
        <w:spacing w:after="0" w:line="240" w:lineRule="auto"/>
        <w:ind w:left="567" w:hanging="567"/>
        <w:jc w:val="both"/>
        <w:rPr>
          <w:rFonts w:cstheme="minorHAnsi"/>
        </w:rPr>
      </w:pPr>
      <w:r w:rsidRPr="000A2652">
        <w:rPr>
          <w:rFonts w:cstheme="minorHAnsi"/>
        </w:rPr>
        <w:t>Developing the</w:t>
      </w:r>
      <w:r>
        <w:rPr>
          <w:rFonts w:cstheme="minorHAnsi"/>
        </w:rPr>
        <w:t xml:space="preserve"> </w:t>
      </w:r>
      <w:r w:rsidRPr="000A2652">
        <w:rPr>
          <w:rFonts w:cstheme="minorHAnsi"/>
        </w:rPr>
        <w:t>Young Workforce regional group</w:t>
      </w:r>
      <w:r>
        <w:rPr>
          <w:rFonts w:cstheme="minorHAnsi"/>
        </w:rPr>
        <w:t xml:space="preserve"> </w:t>
      </w:r>
      <w:r w:rsidRPr="000A2652">
        <w:rPr>
          <w:rFonts w:cstheme="minorHAnsi"/>
        </w:rPr>
        <w:t>for East Dunbartonshire and Lanarkshire</w:t>
      </w:r>
      <w:r>
        <w:rPr>
          <w:rFonts w:cstheme="minorHAnsi"/>
        </w:rPr>
        <w:t>. We will be</w:t>
      </w:r>
    </w:p>
    <w:p w14:paraId="531EACAE" w14:textId="77777777" w:rsidR="00734B4B" w:rsidRDefault="00AF0E6E" w:rsidP="00585CDF">
      <w:pPr>
        <w:spacing w:after="0" w:line="240" w:lineRule="auto"/>
        <w:ind w:left="567" w:hanging="567"/>
        <w:jc w:val="both"/>
        <w:rPr>
          <w:rFonts w:cstheme="minorHAnsi"/>
        </w:rPr>
      </w:pPr>
      <w:r>
        <w:rPr>
          <w:rFonts w:cstheme="minorHAnsi"/>
        </w:rPr>
        <w:t xml:space="preserve">asking key departments to contribute to this </w:t>
      </w:r>
      <w:r w:rsidR="00734B4B">
        <w:rPr>
          <w:rFonts w:cstheme="minorHAnsi"/>
        </w:rPr>
        <w:t>by providing workshops and we will host a range of STEM</w:t>
      </w:r>
    </w:p>
    <w:p w14:paraId="6632FE1A" w14:textId="77777777" w:rsidR="00734B4B" w:rsidRDefault="00734B4B" w:rsidP="00585CDF">
      <w:pPr>
        <w:spacing w:after="0" w:line="240" w:lineRule="auto"/>
        <w:ind w:left="567" w:hanging="567"/>
        <w:jc w:val="both"/>
        <w:rPr>
          <w:rFonts w:cstheme="minorHAnsi"/>
        </w:rPr>
      </w:pPr>
      <w:r>
        <w:rPr>
          <w:rFonts w:cstheme="minorHAnsi"/>
        </w:rPr>
        <w:t>employers on the day for pupils to engage with. We will ensure that pupils engage with our Advanced</w:t>
      </w:r>
    </w:p>
    <w:p w14:paraId="14F567D1" w14:textId="4D40D3C8" w:rsidR="000A2652" w:rsidRDefault="00734B4B" w:rsidP="00585CDF">
      <w:pPr>
        <w:spacing w:after="0" w:line="240" w:lineRule="auto"/>
        <w:jc w:val="both"/>
        <w:rPr>
          <w:rFonts w:cstheme="minorHAnsi"/>
        </w:rPr>
      </w:pPr>
      <w:r>
        <w:rPr>
          <w:rFonts w:cstheme="minorHAnsi"/>
        </w:rPr>
        <w:t xml:space="preserve">Manufacturing Hub during this event to support </w:t>
      </w:r>
      <w:r w:rsidR="00251E89">
        <w:rPr>
          <w:rFonts w:cstheme="minorHAnsi"/>
        </w:rPr>
        <w:t>meeting the targets set out in the UK Shared</w:t>
      </w:r>
      <w:r w:rsidR="00585CDF">
        <w:rPr>
          <w:rFonts w:cstheme="minorHAnsi"/>
        </w:rPr>
        <w:t xml:space="preserve"> </w:t>
      </w:r>
      <w:r w:rsidR="00251E89">
        <w:rPr>
          <w:rFonts w:cstheme="minorHAnsi"/>
        </w:rPr>
        <w:t>Prosperity Fund for SmartHub Lanarkshire that we deliver in partnership with North Lanarkshire</w:t>
      </w:r>
      <w:r w:rsidR="00585CDF">
        <w:rPr>
          <w:rFonts w:cstheme="minorHAnsi"/>
        </w:rPr>
        <w:t xml:space="preserve"> </w:t>
      </w:r>
      <w:r w:rsidR="00251E89">
        <w:rPr>
          <w:rFonts w:cstheme="minorHAnsi"/>
        </w:rPr>
        <w:t>Council.</w:t>
      </w:r>
    </w:p>
    <w:p w14:paraId="259C7533" w14:textId="77777777" w:rsidR="000A2652" w:rsidRDefault="000A2652" w:rsidP="009B2A36">
      <w:pPr>
        <w:spacing w:after="0" w:line="240" w:lineRule="auto"/>
        <w:ind w:left="567" w:hanging="567"/>
        <w:jc w:val="both"/>
        <w:rPr>
          <w:rFonts w:cstheme="minorHAnsi"/>
        </w:rPr>
      </w:pPr>
    </w:p>
    <w:p w14:paraId="356D0C65" w14:textId="5F46C30F" w:rsidR="002E1D0B" w:rsidRDefault="00734B4B" w:rsidP="00585CDF">
      <w:pPr>
        <w:spacing w:after="0" w:line="240" w:lineRule="auto"/>
        <w:jc w:val="both"/>
        <w:rPr>
          <w:rFonts w:cstheme="minorHAnsi"/>
        </w:rPr>
      </w:pPr>
      <w:r>
        <w:rPr>
          <w:rFonts w:cstheme="minorHAnsi"/>
        </w:rPr>
        <w:t xml:space="preserve">A further two events are planned for later in the year, </w:t>
      </w:r>
      <w:r w:rsidR="002E1D0B">
        <w:rPr>
          <w:rFonts w:cstheme="minorHAnsi"/>
        </w:rPr>
        <w:t>in collaboration with Smart STEMs,</w:t>
      </w:r>
      <w:r>
        <w:rPr>
          <w:rFonts w:cstheme="minorHAnsi"/>
        </w:rPr>
        <w:t xml:space="preserve"> however</w:t>
      </w:r>
      <w:r w:rsidR="00585CDF">
        <w:rPr>
          <w:rFonts w:cstheme="minorHAnsi"/>
        </w:rPr>
        <w:t xml:space="preserve">, </w:t>
      </w:r>
      <w:r>
        <w:rPr>
          <w:rFonts w:cstheme="minorHAnsi"/>
        </w:rPr>
        <w:t>details of this have still to be finalised.</w:t>
      </w:r>
    </w:p>
    <w:p w14:paraId="3381414E" w14:textId="77777777" w:rsidR="009B2A36" w:rsidRDefault="009B2A36" w:rsidP="009B2A36">
      <w:pPr>
        <w:spacing w:after="0" w:line="240" w:lineRule="auto"/>
        <w:jc w:val="both"/>
        <w:rPr>
          <w:rFonts w:cstheme="minorHAnsi"/>
        </w:rPr>
      </w:pPr>
    </w:p>
    <w:p w14:paraId="754630CE" w14:textId="77777777" w:rsidR="009B2A36" w:rsidRDefault="009B2A36" w:rsidP="009B2A36">
      <w:pPr>
        <w:spacing w:after="0" w:line="240" w:lineRule="auto"/>
        <w:ind w:left="567" w:hanging="567"/>
        <w:jc w:val="both"/>
        <w:rPr>
          <w:rFonts w:cstheme="minorHAnsi"/>
        </w:rPr>
      </w:pPr>
    </w:p>
    <w:p w14:paraId="20CB41A1" w14:textId="77777777" w:rsidR="00C13590" w:rsidRDefault="009B2A36" w:rsidP="009B2A36">
      <w:pPr>
        <w:pStyle w:val="Heading3"/>
        <w:spacing w:before="0" w:line="240" w:lineRule="auto"/>
        <w:ind w:left="567" w:hanging="567"/>
        <w:jc w:val="both"/>
        <w:rPr>
          <w:rFonts w:cstheme="minorHAnsi"/>
        </w:rPr>
      </w:pPr>
      <w:r>
        <w:rPr>
          <w:b/>
        </w:rPr>
        <w:t>6</w:t>
      </w:r>
      <w:r w:rsidRPr="00D4189F">
        <w:rPr>
          <w:b/>
        </w:rPr>
        <w:t>.</w:t>
      </w:r>
      <w:r w:rsidRPr="00D4189F">
        <w:rPr>
          <w:b/>
        </w:rPr>
        <w:tab/>
      </w:r>
      <w:r>
        <w:rPr>
          <w:b/>
        </w:rPr>
        <w:t>10</w:t>
      </w:r>
      <w:r w:rsidRPr="009B2A36">
        <w:rPr>
          <w:b/>
          <w:vertAlign w:val="superscript"/>
        </w:rPr>
        <w:t>th</w:t>
      </w:r>
      <w:r>
        <w:rPr>
          <w:b/>
        </w:rPr>
        <w:t xml:space="preserve"> ANNIVERSARY PRIZE</w:t>
      </w:r>
    </w:p>
    <w:p w14:paraId="30A17B75" w14:textId="77777777" w:rsidR="00297AE9" w:rsidRDefault="00297AE9" w:rsidP="009B2A36">
      <w:pPr>
        <w:spacing w:after="0" w:line="240" w:lineRule="auto"/>
        <w:ind w:left="567" w:hanging="567"/>
        <w:jc w:val="both"/>
        <w:rPr>
          <w:rFonts w:cstheme="minorHAnsi"/>
        </w:rPr>
      </w:pPr>
    </w:p>
    <w:p w14:paraId="6AB672A5" w14:textId="61991FA5" w:rsidR="00D758CB" w:rsidRDefault="00D758CB" w:rsidP="009B2A36">
      <w:pPr>
        <w:spacing w:after="0" w:line="240" w:lineRule="auto"/>
        <w:jc w:val="both"/>
        <w:rPr>
          <w:rFonts w:cstheme="minorHAnsi"/>
        </w:rPr>
      </w:pPr>
      <w:r>
        <w:rPr>
          <w:rFonts w:cstheme="minorHAnsi"/>
        </w:rPr>
        <w:t xml:space="preserve">The NCL </w:t>
      </w:r>
      <w:r w:rsidR="004978BD">
        <w:rPr>
          <w:rFonts w:cstheme="minorHAnsi"/>
        </w:rPr>
        <w:t>10</w:t>
      </w:r>
      <w:r w:rsidR="004978BD">
        <w:rPr>
          <w:rFonts w:cstheme="minorHAnsi"/>
          <w:vertAlign w:val="superscript"/>
        </w:rPr>
        <w:t xml:space="preserve">th </w:t>
      </w:r>
      <w:r w:rsidR="004978BD">
        <w:rPr>
          <w:rFonts w:cstheme="minorHAnsi"/>
        </w:rPr>
        <w:t xml:space="preserve">Anniversary Prize competition </w:t>
      </w:r>
      <w:r>
        <w:rPr>
          <w:rFonts w:cstheme="minorHAnsi"/>
        </w:rPr>
        <w:t>concluded on 4</w:t>
      </w:r>
      <w:r w:rsidRPr="00D758CB">
        <w:rPr>
          <w:rFonts w:cstheme="minorHAnsi"/>
          <w:vertAlign w:val="superscript"/>
        </w:rPr>
        <w:t>th</w:t>
      </w:r>
      <w:r>
        <w:rPr>
          <w:rFonts w:cstheme="minorHAnsi"/>
        </w:rPr>
        <w:t xml:space="preserve"> of June with a celebration event in our Motherwell campus. </w:t>
      </w:r>
    </w:p>
    <w:p w14:paraId="4A5FF13B" w14:textId="5DB63AAD" w:rsidR="00C53640" w:rsidRDefault="00C53640" w:rsidP="009B2A36">
      <w:pPr>
        <w:spacing w:after="0" w:line="240" w:lineRule="auto"/>
        <w:jc w:val="both"/>
        <w:rPr>
          <w:rFonts w:cstheme="minorHAnsi"/>
        </w:rPr>
      </w:pPr>
    </w:p>
    <w:p w14:paraId="2A26B007" w14:textId="6E22C336" w:rsidR="00863478" w:rsidRDefault="00C53640" w:rsidP="009B2A36">
      <w:pPr>
        <w:spacing w:after="0" w:line="240" w:lineRule="auto"/>
        <w:jc w:val="both"/>
        <w:rPr>
          <w:rFonts w:cstheme="minorHAnsi"/>
        </w:rPr>
      </w:pPr>
      <w:r>
        <w:rPr>
          <w:rFonts w:cstheme="minorHAnsi"/>
        </w:rPr>
        <w:t>There were two entries for the Arts category and fifteen for the STEM category</w:t>
      </w:r>
      <w:r w:rsidR="00F91BEE">
        <w:rPr>
          <w:rFonts w:cstheme="minorHAnsi"/>
        </w:rPr>
        <w:t>, with over 50 pupils in total involved in the competition from three different high schools across North Lanarkshire</w:t>
      </w:r>
      <w:r>
        <w:rPr>
          <w:rFonts w:cstheme="minorHAnsi"/>
        </w:rPr>
        <w:t>. The standard of entries was extremely high, and scoring cards were created with judging criteria to ensure a fair and equitable approach to deciding on the winners in each category.</w:t>
      </w:r>
    </w:p>
    <w:p w14:paraId="0A8E402E" w14:textId="0E40CDED" w:rsidR="00C53640" w:rsidRDefault="00C53640" w:rsidP="009B2A36">
      <w:pPr>
        <w:spacing w:after="0" w:line="240" w:lineRule="auto"/>
        <w:jc w:val="both"/>
        <w:rPr>
          <w:rFonts w:cstheme="minorHAnsi"/>
        </w:rPr>
      </w:pPr>
    </w:p>
    <w:p w14:paraId="6728ACD3" w14:textId="48D3E8C9" w:rsidR="00C53640" w:rsidRDefault="00C53640" w:rsidP="00585CDF">
      <w:pPr>
        <w:pStyle w:val="NoSpacing"/>
        <w:jc w:val="both"/>
      </w:pPr>
      <w:r>
        <w:t xml:space="preserve">The judging panel consisted of a range of both internal and external stakeholders. Our Principal and CEO chaired the proceedings, with North Lanarkshire Council being represented by Andrew </w:t>
      </w:r>
      <w:r w:rsidR="00585CDF">
        <w:t>M</w:t>
      </w:r>
      <w:r>
        <w:t>cPherson, Deputy Chief Executive</w:t>
      </w:r>
      <w:r w:rsidR="00F91BEE">
        <w:t>. Derek Harris, Chief Operating Officer at Skyrora, was also present for the judging of the prizes as the sponsor. In addition, Alan Moffat, Head of our Visual and Creative Arts Department helped to judge the Arts category, while Michael Balzo, Academic Leader of Science, helped to judge the STEM category.</w:t>
      </w:r>
    </w:p>
    <w:p w14:paraId="6018E4A1" w14:textId="3607EBB3" w:rsidR="00F91BEE" w:rsidRDefault="00F91BEE" w:rsidP="00585CDF">
      <w:pPr>
        <w:spacing w:after="0" w:line="240" w:lineRule="auto"/>
        <w:jc w:val="both"/>
        <w:rPr>
          <w:rFonts w:cstheme="minorHAnsi"/>
        </w:rPr>
      </w:pPr>
    </w:p>
    <w:p w14:paraId="68EA0B7D" w14:textId="7B2AA7D5" w:rsidR="00F91BEE" w:rsidRDefault="00F91BEE" w:rsidP="00585CDF">
      <w:pPr>
        <w:spacing w:after="0" w:line="240" w:lineRule="auto"/>
        <w:jc w:val="both"/>
        <w:rPr>
          <w:rFonts w:cstheme="minorHAnsi"/>
        </w:rPr>
      </w:pPr>
      <w:r>
        <w:rPr>
          <w:rFonts w:cstheme="minorHAnsi"/>
        </w:rPr>
        <w:t xml:space="preserve">Both teams from the Arts category submission were invited to attend our celebration event, while 6 teams from the STEM category made it through to the final. Pupils were invited to bring their parents and carers on the night, as well as colleagues from both schools. </w:t>
      </w:r>
    </w:p>
    <w:p w14:paraId="3E1EA8CD" w14:textId="00CF8D15" w:rsidR="00585CDF" w:rsidRDefault="00585CDF" w:rsidP="00585CDF">
      <w:pPr>
        <w:pStyle w:val="Heading3"/>
        <w:spacing w:before="0" w:line="240" w:lineRule="auto"/>
        <w:ind w:left="567" w:hanging="567"/>
        <w:jc w:val="both"/>
        <w:rPr>
          <w:rFonts w:cstheme="minorHAnsi"/>
        </w:rPr>
      </w:pPr>
      <w:r>
        <w:rPr>
          <w:b/>
        </w:rPr>
        <w:t>6</w:t>
      </w:r>
      <w:r w:rsidRPr="00D4189F">
        <w:rPr>
          <w:b/>
        </w:rPr>
        <w:t>.</w:t>
      </w:r>
      <w:r w:rsidRPr="00D4189F">
        <w:rPr>
          <w:b/>
        </w:rPr>
        <w:tab/>
      </w:r>
      <w:r>
        <w:rPr>
          <w:b/>
        </w:rPr>
        <w:t>10</w:t>
      </w:r>
      <w:r w:rsidRPr="009B2A36">
        <w:rPr>
          <w:b/>
          <w:vertAlign w:val="superscript"/>
        </w:rPr>
        <w:t>th</w:t>
      </w:r>
      <w:r>
        <w:rPr>
          <w:b/>
        </w:rPr>
        <w:t xml:space="preserve"> ANNIVERSARY PRIZE</w:t>
      </w:r>
      <w:r>
        <w:rPr>
          <w:b/>
        </w:rPr>
        <w:t xml:space="preserve"> (</w:t>
      </w:r>
      <w:r w:rsidR="00500973">
        <w:rPr>
          <w:b/>
        </w:rPr>
        <w:t>cont.</w:t>
      </w:r>
      <w:r>
        <w:rPr>
          <w:b/>
        </w:rPr>
        <w:t>)</w:t>
      </w:r>
    </w:p>
    <w:p w14:paraId="306E0131" w14:textId="77777777" w:rsidR="00D758CB" w:rsidRDefault="00D758CB" w:rsidP="009B2A36">
      <w:pPr>
        <w:spacing w:after="0" w:line="240" w:lineRule="auto"/>
        <w:jc w:val="both"/>
        <w:rPr>
          <w:rFonts w:cstheme="minorHAnsi"/>
        </w:rPr>
      </w:pPr>
    </w:p>
    <w:p w14:paraId="67888386" w14:textId="05E5F051" w:rsidR="00863478" w:rsidRDefault="00D758CB" w:rsidP="00585CDF">
      <w:pPr>
        <w:spacing w:after="0" w:line="240" w:lineRule="auto"/>
        <w:jc w:val="both"/>
      </w:pPr>
      <w:r>
        <w:t>Our Lady's High School</w:t>
      </w:r>
      <w:r w:rsidR="00A82643">
        <w:t xml:space="preserve"> (OLHS)</w:t>
      </w:r>
      <w:r>
        <w:t xml:space="preserve">, Cumbernauld, emerged as the winner in the Arts category with their innovative proposal for an art exhibition aimed at raising awareness and funds for sustainable issues. Inspired by Yayoi Kusama's 'Infinity Rooms,' the students designed an interactive installation filled with art made from recycled materials, aiming to attract community engagement and donations for countries impacted by climate change. Their project included crafting flowers from recycled plastic bottles and creating a space in Cumbernauld Town Centre where visitors could exchange household waste for donation tokens. Runners up in this category was a team from Greenfaulds High, Cumbernauld, </w:t>
      </w:r>
      <w:r w:rsidR="00F91BEE">
        <w:t>who created a mosaic plate</w:t>
      </w:r>
      <w:r w:rsidR="00F91BEE" w:rsidRPr="00F91BEE">
        <w:t xml:space="preserve"> us</w:t>
      </w:r>
      <w:r w:rsidR="00F91BEE">
        <w:t>ing</w:t>
      </w:r>
      <w:r w:rsidR="00F91BEE" w:rsidRPr="00F91BEE">
        <w:t xml:space="preserve"> colour to gently balance the positive messaging around sustainability with the stark warning of the impact of our carbon footprint. </w:t>
      </w:r>
    </w:p>
    <w:p w14:paraId="6140FD75" w14:textId="77777777" w:rsidR="00585CDF" w:rsidRDefault="00585CDF" w:rsidP="00585CDF">
      <w:pPr>
        <w:spacing w:after="0" w:line="240" w:lineRule="auto"/>
        <w:jc w:val="both"/>
      </w:pPr>
    </w:p>
    <w:p w14:paraId="30A1A75D" w14:textId="15486DE3" w:rsidR="00863478" w:rsidRDefault="00D758CB" w:rsidP="00585CDF">
      <w:pPr>
        <w:spacing w:after="0" w:line="240" w:lineRule="auto"/>
        <w:jc w:val="both"/>
        <w:rPr>
          <w:bCs/>
        </w:rPr>
      </w:pPr>
      <w:r w:rsidRPr="00F91BEE">
        <w:rPr>
          <w:bCs/>
        </w:rPr>
        <w:t>In the Stem Category the standard of entries was so strong the judges spilt the prize between a team from Taylor High school and a team from Our Lady High school, Cumbe</w:t>
      </w:r>
      <w:r w:rsidR="00863478">
        <w:rPr>
          <w:bCs/>
        </w:rPr>
        <w:t>r</w:t>
      </w:r>
      <w:r w:rsidRPr="00F91BEE">
        <w:rPr>
          <w:bCs/>
        </w:rPr>
        <w:t>nauld.</w:t>
      </w:r>
      <w:r w:rsidR="00F91BEE">
        <w:rPr>
          <w:bCs/>
        </w:rPr>
        <w:t xml:space="preserve"> </w:t>
      </w:r>
    </w:p>
    <w:p w14:paraId="16AC6506" w14:textId="77777777" w:rsidR="00585CDF" w:rsidRDefault="00585CDF" w:rsidP="00585CDF">
      <w:pPr>
        <w:spacing w:after="0" w:line="240" w:lineRule="auto"/>
        <w:jc w:val="both"/>
        <w:rPr>
          <w:bCs/>
        </w:rPr>
      </w:pPr>
    </w:p>
    <w:p w14:paraId="3BF75E8B" w14:textId="6EAC5C90" w:rsidR="00D758CB" w:rsidRDefault="00D758CB" w:rsidP="00585CDF">
      <w:pPr>
        <w:spacing w:after="0" w:line="240" w:lineRule="auto"/>
        <w:jc w:val="both"/>
      </w:pPr>
      <w:r>
        <w:lastRenderedPageBreak/>
        <w:t>Taylor High School's "Tree Week" initiative earned one of the joint winners' spots in the STEM category. The project featured a week-long series of activities designed to promote environmental awareness and action among students. Activities included tree planting, litter picking, a no-tech day to reduce carbon footprints, and a sponsored walk to raise funds for climate change research. The initiative highlighted the importance of trees in carbon sequestration and the role of collective action in combating climate change.</w:t>
      </w:r>
    </w:p>
    <w:p w14:paraId="6567E1CB" w14:textId="77777777" w:rsidR="00585CDF" w:rsidRDefault="00585CDF" w:rsidP="00585CDF">
      <w:pPr>
        <w:spacing w:after="0" w:line="240" w:lineRule="auto"/>
        <w:jc w:val="both"/>
      </w:pPr>
    </w:p>
    <w:p w14:paraId="1BF2CF05" w14:textId="5D4E0EB9" w:rsidR="00D758CB" w:rsidRDefault="00D758CB" w:rsidP="00585CDF">
      <w:pPr>
        <w:spacing w:after="0" w:line="240" w:lineRule="auto"/>
        <w:jc w:val="both"/>
      </w:pPr>
      <w:r>
        <w:t>The OLHS group clinched the other joint winner title with their impressive back garden windmill designed to power mobile phones. Their project demonstrated how wind energy could be harnessed using a small-scale windmill to generate electricity for everyday devices. Additionally, they proposed an alternative hydro-power method using water to achieve the same outcome, showcasing a versatile approach to renewable energy solutions suitable for urban settings.</w:t>
      </w:r>
    </w:p>
    <w:p w14:paraId="1697B137" w14:textId="77777777" w:rsidR="00585CDF" w:rsidRDefault="00585CDF" w:rsidP="00585CDF">
      <w:pPr>
        <w:spacing w:after="0" w:line="240" w:lineRule="auto"/>
        <w:jc w:val="both"/>
      </w:pPr>
    </w:p>
    <w:p w14:paraId="17349A80" w14:textId="1A436496" w:rsidR="00D758CB" w:rsidRDefault="00863478" w:rsidP="00585CDF">
      <w:pPr>
        <w:spacing w:after="0" w:line="240" w:lineRule="auto"/>
        <w:jc w:val="both"/>
      </w:pPr>
      <w:r>
        <w:t>Each of the winning teams received £500</w:t>
      </w:r>
      <w:r w:rsidR="00A82643">
        <w:t xml:space="preserve"> and a trophy. They also had the opportunity to visit Skyrora’s state-of-the-art facilities in Cumbernauld.</w:t>
      </w:r>
    </w:p>
    <w:p w14:paraId="26768531" w14:textId="2BE07335" w:rsidR="00A82643" w:rsidRDefault="00A82643" w:rsidP="00585CDF">
      <w:pPr>
        <w:spacing w:after="0" w:line="240" w:lineRule="auto"/>
        <w:jc w:val="both"/>
        <w:rPr>
          <w:rFonts w:cstheme="minorHAnsi"/>
        </w:rPr>
      </w:pPr>
    </w:p>
    <w:p w14:paraId="5CB079E4" w14:textId="628EED55" w:rsidR="00A82643" w:rsidRDefault="00A82643" w:rsidP="00585CDF">
      <w:pPr>
        <w:spacing w:after="0" w:line="240" w:lineRule="auto"/>
        <w:jc w:val="both"/>
        <w:rPr>
          <w:rFonts w:cstheme="minorHAnsi"/>
        </w:rPr>
      </w:pPr>
      <w:r>
        <w:rPr>
          <w:rFonts w:cstheme="minorHAnsi"/>
        </w:rPr>
        <w:t xml:space="preserve">Going forward, the college is committed to working with the winning entries to bring them to life. Work is already underway with Taylor High to plan for Tree Week in Spring 2025, working with the cluster primaries and our colleagues in Science. We are also hoping to be able to print a 3D version of the sustainability electricity generator and for our Art </w:t>
      </w:r>
      <w:r w:rsidR="00D32573">
        <w:rPr>
          <w:rFonts w:cstheme="minorHAnsi"/>
        </w:rPr>
        <w:t xml:space="preserve">department to </w:t>
      </w:r>
      <w:r>
        <w:rPr>
          <w:rFonts w:cstheme="minorHAnsi"/>
        </w:rPr>
        <w:t xml:space="preserve">work with </w:t>
      </w:r>
      <w:r w:rsidR="00D32573">
        <w:rPr>
          <w:rFonts w:cstheme="minorHAnsi"/>
        </w:rPr>
        <w:t>OLHS</w:t>
      </w:r>
      <w:r>
        <w:rPr>
          <w:rFonts w:cstheme="minorHAnsi"/>
        </w:rPr>
        <w:t xml:space="preserve"> to</w:t>
      </w:r>
      <w:r w:rsidR="00D32573">
        <w:rPr>
          <w:rFonts w:cstheme="minorHAnsi"/>
        </w:rPr>
        <w:t xml:space="preserve"> create the art exhibition in</w:t>
      </w:r>
      <w:r>
        <w:rPr>
          <w:rFonts w:cstheme="minorHAnsi"/>
        </w:rPr>
        <w:t xml:space="preserve"> </w:t>
      </w:r>
      <w:r w:rsidR="00D32573">
        <w:rPr>
          <w:rFonts w:cstheme="minorHAnsi"/>
        </w:rPr>
        <w:t>Cumbernauld.</w:t>
      </w:r>
    </w:p>
    <w:p w14:paraId="15AA33B4" w14:textId="3D8E35D1" w:rsidR="00D32573" w:rsidRDefault="00D32573" w:rsidP="00585CDF">
      <w:pPr>
        <w:spacing w:after="0" w:line="240" w:lineRule="auto"/>
        <w:jc w:val="both"/>
        <w:rPr>
          <w:rFonts w:cstheme="minorHAnsi"/>
        </w:rPr>
      </w:pPr>
    </w:p>
    <w:p w14:paraId="13B359F6" w14:textId="26171F44" w:rsidR="00D32573" w:rsidRDefault="00D32573" w:rsidP="00585CDF">
      <w:pPr>
        <w:spacing w:after="0" w:line="240" w:lineRule="auto"/>
        <w:jc w:val="both"/>
        <w:rPr>
          <w:rFonts w:cstheme="minorHAnsi"/>
        </w:rPr>
      </w:pPr>
      <w:r>
        <w:rPr>
          <w:rFonts w:cstheme="minorHAnsi"/>
        </w:rPr>
        <w:t>We are hoping to build on the success of this event in AY24/25 by running another competition with a view to this becoming an annual event.</w:t>
      </w:r>
    </w:p>
    <w:p w14:paraId="401D3BE7" w14:textId="77777777" w:rsidR="009B2A36" w:rsidRDefault="009B2A36" w:rsidP="009B2A36">
      <w:pPr>
        <w:spacing w:after="0" w:line="240" w:lineRule="auto"/>
        <w:jc w:val="both"/>
        <w:rPr>
          <w:rFonts w:cstheme="minorHAnsi"/>
        </w:rPr>
      </w:pPr>
    </w:p>
    <w:p w14:paraId="3C8FE376" w14:textId="77777777" w:rsidR="009B2A36" w:rsidRDefault="009B2A36" w:rsidP="009B2A36">
      <w:pPr>
        <w:spacing w:after="0" w:line="240" w:lineRule="auto"/>
        <w:ind w:left="567" w:hanging="567"/>
        <w:jc w:val="both"/>
        <w:rPr>
          <w:rFonts w:cstheme="minorHAnsi"/>
        </w:rPr>
      </w:pPr>
    </w:p>
    <w:p w14:paraId="7715F7D6" w14:textId="77777777" w:rsidR="009B2A36" w:rsidRDefault="009B2A36" w:rsidP="009B2A36">
      <w:pPr>
        <w:pStyle w:val="Heading3"/>
        <w:spacing w:before="0" w:line="240" w:lineRule="auto"/>
        <w:ind w:left="567" w:hanging="567"/>
        <w:jc w:val="both"/>
        <w:rPr>
          <w:rFonts w:cstheme="minorHAnsi"/>
        </w:rPr>
      </w:pPr>
      <w:r>
        <w:rPr>
          <w:b/>
        </w:rPr>
        <w:t>7</w:t>
      </w:r>
      <w:r w:rsidRPr="00D4189F">
        <w:rPr>
          <w:b/>
        </w:rPr>
        <w:t>.</w:t>
      </w:r>
      <w:r w:rsidRPr="00D4189F">
        <w:rPr>
          <w:b/>
        </w:rPr>
        <w:tab/>
      </w:r>
      <w:r>
        <w:rPr>
          <w:b/>
        </w:rPr>
        <w:t>QUALIFICATION DEVELOPMENT</w:t>
      </w:r>
    </w:p>
    <w:p w14:paraId="20D1C202" w14:textId="77777777" w:rsidR="00297AE9" w:rsidRDefault="00297AE9" w:rsidP="009B2A36">
      <w:pPr>
        <w:spacing w:after="0" w:line="240" w:lineRule="auto"/>
        <w:ind w:left="567" w:hanging="567"/>
        <w:jc w:val="both"/>
        <w:rPr>
          <w:rFonts w:cstheme="minorHAnsi"/>
        </w:rPr>
      </w:pPr>
    </w:p>
    <w:p w14:paraId="2A0C848B" w14:textId="77777777" w:rsidR="00297AE9" w:rsidRDefault="002F39FB" w:rsidP="009B2A36">
      <w:pPr>
        <w:spacing w:after="0" w:line="240" w:lineRule="auto"/>
        <w:jc w:val="both"/>
        <w:rPr>
          <w:rFonts w:cstheme="minorHAnsi"/>
        </w:rPr>
      </w:pPr>
      <w:r>
        <w:rPr>
          <w:rFonts w:cstheme="minorHAnsi"/>
        </w:rPr>
        <w:t>NCL has been w</w:t>
      </w:r>
      <w:r w:rsidR="00297AE9">
        <w:rPr>
          <w:rFonts w:cstheme="minorHAnsi"/>
        </w:rPr>
        <w:t xml:space="preserve">orking in partnership with Grove Academy in Dundee and </w:t>
      </w:r>
      <w:r>
        <w:rPr>
          <w:rFonts w:cstheme="minorHAnsi"/>
        </w:rPr>
        <w:t>Education</w:t>
      </w:r>
      <w:r w:rsidR="00297AE9">
        <w:rPr>
          <w:rFonts w:cstheme="minorHAnsi"/>
        </w:rPr>
        <w:t xml:space="preserve"> </w:t>
      </w:r>
      <w:r>
        <w:rPr>
          <w:rFonts w:cstheme="minorHAnsi"/>
        </w:rPr>
        <w:t>Scotland to</w:t>
      </w:r>
      <w:r w:rsidR="009B2A36">
        <w:rPr>
          <w:rFonts w:cstheme="minorHAnsi"/>
        </w:rPr>
        <w:t xml:space="preserve"> </w:t>
      </w:r>
      <w:r>
        <w:rPr>
          <w:rFonts w:cstheme="minorHAnsi"/>
        </w:rPr>
        <w:t>develop a new qualification for schools at SCQF level 6.</w:t>
      </w:r>
    </w:p>
    <w:p w14:paraId="3D459CB7" w14:textId="77777777" w:rsidR="00297AE9" w:rsidRDefault="00297AE9" w:rsidP="009B2A36">
      <w:pPr>
        <w:spacing w:after="0" w:line="240" w:lineRule="auto"/>
        <w:ind w:left="567" w:hanging="567"/>
        <w:jc w:val="both"/>
        <w:rPr>
          <w:rFonts w:cstheme="minorHAnsi"/>
        </w:rPr>
      </w:pPr>
    </w:p>
    <w:p w14:paraId="3299F89D" w14:textId="77777777" w:rsidR="00297AE9" w:rsidRDefault="002F39FB" w:rsidP="009B2A36">
      <w:pPr>
        <w:spacing w:after="0" w:line="240" w:lineRule="auto"/>
        <w:jc w:val="both"/>
        <w:rPr>
          <w:rFonts w:cstheme="minorHAnsi"/>
        </w:rPr>
      </w:pPr>
      <w:r>
        <w:rPr>
          <w:rFonts w:cstheme="minorHAnsi"/>
        </w:rPr>
        <w:t xml:space="preserve">This qualification has been developed to support Grove Academy to accredit the pupils for the work </w:t>
      </w:r>
      <w:r w:rsidR="009B2A36">
        <w:rPr>
          <w:rFonts w:cstheme="minorHAnsi"/>
        </w:rPr>
        <w:t>t</w:t>
      </w:r>
      <w:r>
        <w:rPr>
          <w:rFonts w:cstheme="minorHAnsi"/>
        </w:rPr>
        <w:t>hey undertake in relation to Mate Scotland ROV competition. The qualification is called Engineering</w:t>
      </w:r>
      <w:r w:rsidR="009B2A36">
        <w:rPr>
          <w:rFonts w:cstheme="minorHAnsi"/>
        </w:rPr>
        <w:t xml:space="preserve"> </w:t>
      </w:r>
      <w:r>
        <w:rPr>
          <w:rFonts w:cstheme="minorHAnsi"/>
        </w:rPr>
        <w:t>Challenge and the assessment strategy is based on project-led assessment.</w:t>
      </w:r>
    </w:p>
    <w:p w14:paraId="57E37A99" w14:textId="77777777" w:rsidR="002F39FB" w:rsidRDefault="002F39FB" w:rsidP="009B2A36">
      <w:pPr>
        <w:spacing w:after="0" w:line="240" w:lineRule="auto"/>
        <w:jc w:val="both"/>
        <w:rPr>
          <w:rFonts w:cstheme="minorHAnsi"/>
        </w:rPr>
      </w:pPr>
    </w:p>
    <w:p w14:paraId="071A0A42" w14:textId="395A8024" w:rsidR="00585CDF" w:rsidRDefault="00585CDF" w:rsidP="009B2A36">
      <w:pPr>
        <w:spacing w:after="0" w:line="240" w:lineRule="auto"/>
        <w:jc w:val="both"/>
        <w:rPr>
          <w:rFonts w:cstheme="minorHAnsi"/>
        </w:rPr>
      </w:pPr>
    </w:p>
    <w:p w14:paraId="05946A72" w14:textId="35641627" w:rsidR="00585CDF" w:rsidRDefault="00585CDF" w:rsidP="00585CDF">
      <w:pPr>
        <w:pStyle w:val="Heading3"/>
        <w:spacing w:before="0" w:line="240" w:lineRule="auto"/>
        <w:ind w:left="567" w:hanging="567"/>
        <w:jc w:val="both"/>
        <w:rPr>
          <w:b/>
        </w:rPr>
      </w:pPr>
      <w:r>
        <w:rPr>
          <w:b/>
        </w:rPr>
        <w:t>7</w:t>
      </w:r>
      <w:r w:rsidRPr="00D4189F">
        <w:rPr>
          <w:b/>
        </w:rPr>
        <w:t>.</w:t>
      </w:r>
      <w:r w:rsidRPr="00D4189F">
        <w:rPr>
          <w:b/>
        </w:rPr>
        <w:tab/>
      </w:r>
      <w:r>
        <w:rPr>
          <w:b/>
        </w:rPr>
        <w:t>QUALIFICATION DEVELOPMENT</w:t>
      </w:r>
      <w:r>
        <w:rPr>
          <w:b/>
        </w:rPr>
        <w:t xml:space="preserve"> (</w:t>
      </w:r>
      <w:r w:rsidR="00500973">
        <w:rPr>
          <w:b/>
        </w:rPr>
        <w:t>cont.</w:t>
      </w:r>
      <w:r>
        <w:rPr>
          <w:b/>
        </w:rPr>
        <w:t>)</w:t>
      </w:r>
      <w:bookmarkStart w:id="1" w:name="_GoBack"/>
      <w:bookmarkEnd w:id="1"/>
    </w:p>
    <w:p w14:paraId="0A6FE667" w14:textId="77777777" w:rsidR="00585CDF" w:rsidRPr="00585CDF" w:rsidRDefault="00585CDF" w:rsidP="00585CDF">
      <w:pPr>
        <w:spacing w:after="0" w:line="240" w:lineRule="auto"/>
      </w:pPr>
    </w:p>
    <w:p w14:paraId="4CE31812" w14:textId="0D083CC1" w:rsidR="002F39FB" w:rsidRDefault="002F39FB" w:rsidP="009B2A36">
      <w:pPr>
        <w:spacing w:after="0" w:line="240" w:lineRule="auto"/>
        <w:jc w:val="both"/>
        <w:rPr>
          <w:rFonts w:cstheme="minorHAnsi"/>
        </w:rPr>
      </w:pPr>
      <w:r>
        <w:rPr>
          <w:rFonts w:cstheme="minorHAnsi"/>
        </w:rPr>
        <w:t>This qualification has been through the credit-rating process and is on the Scottish Credit and Qualifications Framework, capturing the same number of SCQF points as a C pass at Higher. The qualification is now also registered with Insight so that it attracts tariff points to support schools in evaluating their attainment performance.</w:t>
      </w:r>
    </w:p>
    <w:p w14:paraId="3F1F583C" w14:textId="77777777" w:rsidR="002F39FB" w:rsidRDefault="002F39FB" w:rsidP="009B2A36">
      <w:pPr>
        <w:spacing w:after="0" w:line="240" w:lineRule="auto"/>
        <w:jc w:val="both"/>
        <w:rPr>
          <w:rFonts w:cstheme="minorHAnsi"/>
        </w:rPr>
      </w:pPr>
    </w:p>
    <w:p w14:paraId="3088CCA4" w14:textId="77777777" w:rsidR="002F39FB" w:rsidRDefault="002F39FB" w:rsidP="009B2A36">
      <w:pPr>
        <w:spacing w:after="0" w:line="240" w:lineRule="auto"/>
        <w:jc w:val="both"/>
        <w:rPr>
          <w:rFonts w:cstheme="minorHAnsi"/>
        </w:rPr>
      </w:pPr>
      <w:r>
        <w:rPr>
          <w:rFonts w:cstheme="minorHAnsi"/>
        </w:rPr>
        <w:t>The first cohort of pupils will be accredited in AY2</w:t>
      </w:r>
      <w:r w:rsidR="009B2A36">
        <w:rPr>
          <w:rFonts w:cstheme="minorHAnsi"/>
        </w:rPr>
        <w:t>02</w:t>
      </w:r>
      <w:r>
        <w:rPr>
          <w:rFonts w:cstheme="minorHAnsi"/>
        </w:rPr>
        <w:t>4/2</w:t>
      </w:r>
      <w:r w:rsidR="009B2A36">
        <w:rPr>
          <w:rFonts w:cstheme="minorHAnsi"/>
        </w:rPr>
        <w:t>02</w:t>
      </w:r>
      <w:r>
        <w:rPr>
          <w:rFonts w:cstheme="minorHAnsi"/>
        </w:rPr>
        <w:t>5 and there is lots of interest from Education Scotland as this development work goes some way to address some of the reform recommendations in the Hayward report. It has been proposed that this qualification will be showcased, along with other alternative school qualifications, at a conference event hosted by Education Scotland in the coming months.</w:t>
      </w:r>
    </w:p>
    <w:p w14:paraId="0B1F7710" w14:textId="77777777" w:rsidR="002F39FB" w:rsidRDefault="002F39FB" w:rsidP="009B2A36">
      <w:pPr>
        <w:spacing w:after="0" w:line="240" w:lineRule="auto"/>
        <w:jc w:val="both"/>
        <w:rPr>
          <w:rFonts w:cstheme="minorHAnsi"/>
        </w:rPr>
      </w:pPr>
    </w:p>
    <w:p w14:paraId="51275F3A" w14:textId="472F1811" w:rsidR="002F39FB" w:rsidRDefault="002F39FB" w:rsidP="009B2A36">
      <w:pPr>
        <w:spacing w:after="0" w:line="240" w:lineRule="auto"/>
        <w:jc w:val="both"/>
        <w:rPr>
          <w:rFonts w:cstheme="minorHAnsi"/>
        </w:rPr>
      </w:pPr>
      <w:r>
        <w:rPr>
          <w:rFonts w:cstheme="minorHAnsi"/>
        </w:rPr>
        <w:t xml:space="preserve">Following from this development, there has also been interest in other schools adopting this qualification and there has been interest </w:t>
      </w:r>
      <w:r w:rsidR="00D226B9">
        <w:rPr>
          <w:rFonts w:cstheme="minorHAnsi"/>
        </w:rPr>
        <w:t xml:space="preserve">from </w:t>
      </w:r>
      <w:r>
        <w:rPr>
          <w:rFonts w:cstheme="minorHAnsi"/>
        </w:rPr>
        <w:t xml:space="preserve">F1 in Schools UK </w:t>
      </w:r>
      <w:r w:rsidR="00D226B9">
        <w:rPr>
          <w:rFonts w:cstheme="minorHAnsi"/>
        </w:rPr>
        <w:t xml:space="preserve">in either adopting the qualification or developing something similar to meet the needs of their competition. </w:t>
      </w:r>
    </w:p>
    <w:p w14:paraId="74BB27E7" w14:textId="4AF6C00E" w:rsidR="00585CDF" w:rsidRDefault="00585CDF" w:rsidP="009B2A36">
      <w:pPr>
        <w:spacing w:after="0" w:line="240" w:lineRule="auto"/>
        <w:jc w:val="both"/>
        <w:rPr>
          <w:rFonts w:cstheme="minorHAnsi"/>
        </w:rPr>
      </w:pPr>
    </w:p>
    <w:p w14:paraId="7732ABBB" w14:textId="6DF30C2F" w:rsidR="00585CDF" w:rsidRDefault="00585CDF" w:rsidP="009B2A36">
      <w:pPr>
        <w:spacing w:after="0" w:line="240" w:lineRule="auto"/>
        <w:jc w:val="both"/>
        <w:rPr>
          <w:rFonts w:cstheme="minorHAnsi"/>
        </w:rPr>
      </w:pPr>
    </w:p>
    <w:p w14:paraId="3D99C553" w14:textId="42B870B5" w:rsidR="00585CDF" w:rsidRDefault="00585CDF" w:rsidP="00585CDF">
      <w:pPr>
        <w:pStyle w:val="Heading3"/>
        <w:spacing w:before="0" w:line="240" w:lineRule="auto"/>
        <w:ind w:left="567" w:hanging="567"/>
        <w:jc w:val="both"/>
        <w:rPr>
          <w:rFonts w:cstheme="minorHAnsi"/>
        </w:rPr>
      </w:pPr>
      <w:r>
        <w:rPr>
          <w:b/>
        </w:rPr>
        <w:t>8</w:t>
      </w:r>
      <w:r w:rsidRPr="00D4189F">
        <w:rPr>
          <w:b/>
        </w:rPr>
        <w:t>.</w:t>
      </w:r>
      <w:r w:rsidRPr="00D4189F">
        <w:rPr>
          <w:b/>
        </w:rPr>
        <w:tab/>
      </w:r>
      <w:r>
        <w:rPr>
          <w:b/>
        </w:rPr>
        <w:t>IMPROVEMENT</w:t>
      </w:r>
    </w:p>
    <w:p w14:paraId="30607877" w14:textId="77777777" w:rsidR="00585CDF" w:rsidRDefault="00585CDF" w:rsidP="009B2A36">
      <w:pPr>
        <w:spacing w:after="0" w:line="240" w:lineRule="auto"/>
        <w:jc w:val="both"/>
        <w:rPr>
          <w:rFonts w:cstheme="minorHAnsi"/>
        </w:rPr>
      </w:pPr>
    </w:p>
    <w:p w14:paraId="55F97DA7" w14:textId="77777777" w:rsidR="00734B4B" w:rsidRDefault="00734B4B" w:rsidP="00734B4B">
      <w:pPr>
        <w:spacing w:after="0" w:line="240" w:lineRule="auto"/>
        <w:ind w:left="567" w:hanging="567"/>
        <w:jc w:val="both"/>
      </w:pPr>
      <w:r>
        <w:rPr>
          <w:rFonts w:cstheme="minorHAnsi"/>
        </w:rPr>
        <w:t xml:space="preserve">There are several key development strands for improvement for </w:t>
      </w:r>
      <w:r w:rsidR="00AF0E6E">
        <w:t xml:space="preserve">AY 2024/2025, </w:t>
      </w:r>
      <w:r>
        <w:t xml:space="preserve">which </w:t>
      </w:r>
      <w:r w:rsidR="00AF0E6E">
        <w:t>are captured in</w:t>
      </w:r>
    </w:p>
    <w:p w14:paraId="634CBADE" w14:textId="63DB0F54" w:rsidR="00AF0E6E" w:rsidRDefault="00AF0E6E" w:rsidP="00734B4B">
      <w:pPr>
        <w:spacing w:after="0" w:line="240" w:lineRule="auto"/>
        <w:ind w:left="567" w:hanging="567"/>
        <w:jc w:val="both"/>
      </w:pPr>
      <w:r>
        <w:t>action plans, which have been shared with staff and our TU colleagues</w:t>
      </w:r>
      <w:r w:rsidR="00734B4B">
        <w:t>.</w:t>
      </w:r>
    </w:p>
    <w:p w14:paraId="65E7F3E9" w14:textId="0E852F27" w:rsidR="00734B4B" w:rsidRDefault="00734B4B" w:rsidP="00734B4B">
      <w:pPr>
        <w:spacing w:after="0" w:line="240" w:lineRule="auto"/>
        <w:ind w:left="567" w:hanging="567"/>
        <w:jc w:val="both"/>
        <w:rPr>
          <w:rFonts w:cstheme="minorHAnsi"/>
        </w:rPr>
      </w:pPr>
    </w:p>
    <w:p w14:paraId="266EA829" w14:textId="13F64D42" w:rsidR="00734B4B" w:rsidRDefault="00734B4B" w:rsidP="00734B4B">
      <w:pPr>
        <w:spacing w:after="0" w:line="240" w:lineRule="auto"/>
        <w:ind w:left="567" w:hanging="567"/>
        <w:jc w:val="both"/>
        <w:rPr>
          <w:rFonts w:cstheme="minorHAnsi"/>
        </w:rPr>
      </w:pPr>
      <w:r>
        <w:rPr>
          <w:rFonts w:cstheme="minorHAnsi"/>
        </w:rPr>
        <w:t>Some of these developments are:</w:t>
      </w:r>
    </w:p>
    <w:p w14:paraId="6AFEAB20" w14:textId="77777777" w:rsidR="00585CDF" w:rsidRDefault="00585CDF" w:rsidP="00734B4B">
      <w:pPr>
        <w:spacing w:after="0" w:line="240" w:lineRule="auto"/>
        <w:ind w:left="567" w:hanging="567"/>
        <w:jc w:val="both"/>
        <w:rPr>
          <w:rFonts w:cstheme="minorHAnsi"/>
        </w:rPr>
      </w:pPr>
    </w:p>
    <w:p w14:paraId="372BE216" w14:textId="1EB28E95" w:rsidR="00734B4B" w:rsidRPr="00734B4B" w:rsidRDefault="00734B4B" w:rsidP="00585CDF">
      <w:pPr>
        <w:pStyle w:val="ListParagraph"/>
        <w:numPr>
          <w:ilvl w:val="0"/>
          <w:numId w:val="10"/>
        </w:numPr>
        <w:spacing w:after="0" w:line="240" w:lineRule="auto"/>
        <w:ind w:left="567" w:hanging="567"/>
        <w:jc w:val="both"/>
        <w:rPr>
          <w:rFonts w:cstheme="minorHAnsi"/>
        </w:rPr>
      </w:pPr>
      <w:r w:rsidRPr="00734B4B">
        <w:rPr>
          <w:rFonts w:cstheme="minorHAnsi"/>
        </w:rPr>
        <w:t>Testing and introduction of a new online enrolment system</w:t>
      </w:r>
      <w:r w:rsidR="00585CDF">
        <w:rPr>
          <w:rFonts w:cstheme="minorHAnsi"/>
        </w:rPr>
        <w:t>.</w:t>
      </w:r>
    </w:p>
    <w:p w14:paraId="5FBC10AD" w14:textId="4314AD6A" w:rsidR="00734B4B" w:rsidRDefault="00734B4B" w:rsidP="00585CDF">
      <w:pPr>
        <w:pStyle w:val="ListParagraph"/>
        <w:numPr>
          <w:ilvl w:val="0"/>
          <w:numId w:val="10"/>
        </w:numPr>
        <w:spacing w:after="0" w:line="240" w:lineRule="auto"/>
        <w:ind w:left="567" w:hanging="567"/>
        <w:jc w:val="both"/>
      </w:pPr>
      <w:r w:rsidRPr="00734B4B">
        <w:rPr>
          <w:rFonts w:cstheme="minorHAnsi"/>
        </w:rPr>
        <w:t xml:space="preserve">Creation of a dashboard </w:t>
      </w:r>
      <w:r w:rsidR="00AF0E6E">
        <w:t>for our school-college partnership programmes</w:t>
      </w:r>
      <w:r w:rsidR="00585CDF">
        <w:t>.</w:t>
      </w:r>
    </w:p>
    <w:p w14:paraId="45E8F810" w14:textId="0B4D99B2" w:rsidR="00734B4B" w:rsidRDefault="00734B4B" w:rsidP="00585CDF">
      <w:pPr>
        <w:pStyle w:val="ListParagraph"/>
        <w:numPr>
          <w:ilvl w:val="0"/>
          <w:numId w:val="10"/>
        </w:numPr>
        <w:spacing w:after="0" w:line="240" w:lineRule="auto"/>
        <w:ind w:left="567" w:hanging="567"/>
        <w:jc w:val="both"/>
      </w:pPr>
      <w:r>
        <w:t>Induction packs for those delivering on our school-college partnership programme</w:t>
      </w:r>
      <w:r w:rsidR="00585CDF">
        <w:t>.</w:t>
      </w:r>
    </w:p>
    <w:p w14:paraId="2D308311" w14:textId="3B0E0181" w:rsidR="00734B4B" w:rsidRDefault="00734B4B" w:rsidP="00585CDF">
      <w:pPr>
        <w:pStyle w:val="ListParagraph"/>
        <w:numPr>
          <w:ilvl w:val="0"/>
          <w:numId w:val="10"/>
        </w:numPr>
        <w:spacing w:after="0" w:line="240" w:lineRule="auto"/>
        <w:ind w:left="567" w:hanging="567"/>
        <w:jc w:val="both"/>
      </w:pPr>
      <w:r>
        <w:t>Celebration events/open evenings for pupils,</w:t>
      </w:r>
      <w:r w:rsidR="00D758CB">
        <w:t xml:space="preserve"> p</w:t>
      </w:r>
      <w:r>
        <w:t>arents, carers and school colleagues</w:t>
      </w:r>
      <w:r w:rsidR="00585CDF">
        <w:t>.</w:t>
      </w:r>
    </w:p>
    <w:p w14:paraId="26FE2B4A" w14:textId="235C826A" w:rsidR="005567E5" w:rsidRDefault="005567E5" w:rsidP="00585CDF">
      <w:pPr>
        <w:pStyle w:val="ListParagraph"/>
        <w:numPr>
          <w:ilvl w:val="0"/>
          <w:numId w:val="10"/>
        </w:numPr>
        <w:spacing w:after="0" w:line="240" w:lineRule="auto"/>
        <w:ind w:left="567" w:hanging="567"/>
        <w:jc w:val="both"/>
      </w:pPr>
      <w:r>
        <w:t>Improve IT access for staff delivering out in schools</w:t>
      </w:r>
      <w:r w:rsidR="00585CDF">
        <w:t>.</w:t>
      </w:r>
    </w:p>
    <w:p w14:paraId="4E7D7A05" w14:textId="2F03DA1A" w:rsidR="005567E5" w:rsidRPr="00734B4B" w:rsidRDefault="005567E5" w:rsidP="00585CDF">
      <w:pPr>
        <w:pStyle w:val="ListParagraph"/>
        <w:numPr>
          <w:ilvl w:val="0"/>
          <w:numId w:val="10"/>
        </w:numPr>
        <w:spacing w:after="0" w:line="240" w:lineRule="auto"/>
        <w:ind w:left="567" w:hanging="567"/>
        <w:jc w:val="both"/>
      </w:pPr>
      <w:r>
        <w:t>Development of the website page to include videos and testimonials</w:t>
      </w:r>
      <w:r w:rsidR="00585CDF">
        <w:t>.</w:t>
      </w:r>
    </w:p>
    <w:p w14:paraId="67A4DC48" w14:textId="77777777" w:rsidR="00AF0E6E" w:rsidRDefault="00AF0E6E" w:rsidP="00AF0E6E">
      <w:pPr>
        <w:spacing w:after="0" w:line="240" w:lineRule="auto"/>
        <w:jc w:val="both"/>
      </w:pPr>
    </w:p>
    <w:p w14:paraId="784F6EB9" w14:textId="77777777" w:rsidR="00A950D0" w:rsidRPr="00CD13DA" w:rsidRDefault="00A950D0" w:rsidP="009B2A36">
      <w:pPr>
        <w:spacing w:after="0" w:line="240" w:lineRule="auto"/>
        <w:ind w:left="567" w:hanging="567"/>
        <w:jc w:val="both"/>
        <w:rPr>
          <w:rFonts w:cstheme="minorHAnsi"/>
        </w:rPr>
      </w:pPr>
    </w:p>
    <w:sectPr w:rsidR="00A950D0" w:rsidRPr="00CD13DA" w:rsidSect="00CB277C">
      <w:headerReference w:type="default" r:id="rId11"/>
      <w:headerReference w:type="first" r:id="rId12"/>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37A69" w14:textId="77777777" w:rsidR="002B778D" w:rsidRDefault="002B778D" w:rsidP="00074B87">
      <w:pPr>
        <w:spacing w:after="0" w:line="240" w:lineRule="auto"/>
      </w:pPr>
      <w:r>
        <w:separator/>
      </w:r>
    </w:p>
  </w:endnote>
  <w:endnote w:type="continuationSeparator" w:id="0">
    <w:p w14:paraId="4D5BECC7" w14:textId="77777777" w:rsidR="002B778D" w:rsidRDefault="002B778D" w:rsidP="00074B87">
      <w:pPr>
        <w:spacing w:after="0" w:line="240" w:lineRule="auto"/>
      </w:pPr>
      <w:r>
        <w:continuationSeparator/>
      </w:r>
    </w:p>
  </w:endnote>
  <w:endnote w:type="continuationNotice" w:id="1">
    <w:p w14:paraId="7DFDB07F" w14:textId="77777777" w:rsidR="002B778D" w:rsidRDefault="002B77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D791C" w14:textId="77777777" w:rsidR="002B778D" w:rsidRDefault="002B778D" w:rsidP="00074B87">
      <w:pPr>
        <w:spacing w:after="0" w:line="240" w:lineRule="auto"/>
      </w:pPr>
      <w:r>
        <w:separator/>
      </w:r>
    </w:p>
  </w:footnote>
  <w:footnote w:type="continuationSeparator" w:id="0">
    <w:p w14:paraId="23DC10D3" w14:textId="77777777" w:rsidR="002B778D" w:rsidRDefault="002B778D" w:rsidP="00074B87">
      <w:pPr>
        <w:spacing w:after="0" w:line="240" w:lineRule="auto"/>
      </w:pPr>
      <w:r>
        <w:continuationSeparator/>
      </w:r>
    </w:p>
  </w:footnote>
  <w:footnote w:type="continuationNotice" w:id="1">
    <w:p w14:paraId="782F8738" w14:textId="77777777" w:rsidR="002B778D" w:rsidRDefault="002B77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FE7E5" w14:textId="77777777" w:rsidR="00D4189F" w:rsidRDefault="00D4189F" w:rsidP="00EC47CF">
    <w:pPr>
      <w:pStyle w:val="Header"/>
      <w:jc w:val="center"/>
    </w:pPr>
  </w:p>
  <w:p w14:paraId="04C009F9" w14:textId="77777777" w:rsidR="00D4189F" w:rsidRDefault="00D41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28C3" w14:textId="77777777" w:rsidR="00CB277C" w:rsidRDefault="00CB277C" w:rsidP="00CB277C">
    <w:pPr>
      <w:pStyle w:val="Header"/>
      <w:jc w:val="right"/>
    </w:pPr>
    <w:r>
      <w:rPr>
        <w:noProof/>
      </w:rPr>
      <w:drawing>
        <wp:inline distT="0" distB="0" distL="0" distR="0" wp14:anchorId="417A5DBD" wp14:editId="0E6AF2A8">
          <wp:extent cx="16954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078" cy="6868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33573"/>
    <w:multiLevelType w:val="hybridMultilevel"/>
    <w:tmpl w:val="6B5E7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42850"/>
    <w:multiLevelType w:val="hybridMultilevel"/>
    <w:tmpl w:val="612E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73E4C"/>
    <w:multiLevelType w:val="multilevel"/>
    <w:tmpl w:val="345AD5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7F33F20"/>
    <w:multiLevelType w:val="hybridMultilevel"/>
    <w:tmpl w:val="97FC1366"/>
    <w:lvl w:ilvl="0" w:tplc="08090001">
      <w:start w:val="1"/>
      <w:numFmt w:val="bullet"/>
      <w:lvlText w:val=""/>
      <w:lvlJc w:val="left"/>
      <w:pPr>
        <w:ind w:left="770" w:hanging="360"/>
      </w:pPr>
      <w:rPr>
        <w:rFonts w:ascii="Symbol" w:hAnsi="Symbol" w:hint="default"/>
      </w:rPr>
    </w:lvl>
    <w:lvl w:ilvl="1" w:tplc="08090001">
      <w:start w:val="1"/>
      <w:numFmt w:val="bullet"/>
      <w:lvlText w:val=""/>
      <w:lvlJc w:val="left"/>
      <w:pPr>
        <w:ind w:left="1490" w:hanging="360"/>
      </w:pPr>
      <w:rPr>
        <w:rFonts w:ascii="Symbol" w:hAnsi="Symbol"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3307546E"/>
    <w:multiLevelType w:val="hybridMultilevel"/>
    <w:tmpl w:val="8570A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26253F"/>
    <w:multiLevelType w:val="hybridMultilevel"/>
    <w:tmpl w:val="562EB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2E77CC"/>
    <w:multiLevelType w:val="hybridMultilevel"/>
    <w:tmpl w:val="2D2C5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FE4A62"/>
    <w:multiLevelType w:val="hybridMultilevel"/>
    <w:tmpl w:val="95789B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21D1105"/>
    <w:multiLevelType w:val="hybridMultilevel"/>
    <w:tmpl w:val="4EE63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7"/>
  </w:num>
  <w:num w:numId="5">
    <w:abstractNumId w:val="2"/>
  </w:num>
  <w:num w:numId="6">
    <w:abstractNumId w:val="3"/>
  </w:num>
  <w:num w:numId="7">
    <w:abstractNumId w:val="1"/>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9B"/>
    <w:rsid w:val="00021A04"/>
    <w:rsid w:val="00074B87"/>
    <w:rsid w:val="000A0D09"/>
    <w:rsid w:val="000A2652"/>
    <w:rsid w:val="000B6CB3"/>
    <w:rsid w:val="000D13C3"/>
    <w:rsid w:val="000E0015"/>
    <w:rsid w:val="000E62D8"/>
    <w:rsid w:val="00101E52"/>
    <w:rsid w:val="00113880"/>
    <w:rsid w:val="00146617"/>
    <w:rsid w:val="001574CA"/>
    <w:rsid w:val="00171B85"/>
    <w:rsid w:val="00177B85"/>
    <w:rsid w:val="0019513A"/>
    <w:rsid w:val="001C699B"/>
    <w:rsid w:val="001D3BDE"/>
    <w:rsid w:val="001F5EAB"/>
    <w:rsid w:val="0020161E"/>
    <w:rsid w:val="00213A85"/>
    <w:rsid w:val="00232CE7"/>
    <w:rsid w:val="00251E89"/>
    <w:rsid w:val="0025786C"/>
    <w:rsid w:val="00277505"/>
    <w:rsid w:val="00297AE9"/>
    <w:rsid w:val="002A1E1E"/>
    <w:rsid w:val="002B778D"/>
    <w:rsid w:val="002C20CA"/>
    <w:rsid w:val="002D07C0"/>
    <w:rsid w:val="002E1D0B"/>
    <w:rsid w:val="002F39FB"/>
    <w:rsid w:val="00323FE5"/>
    <w:rsid w:val="003449B0"/>
    <w:rsid w:val="00344C9C"/>
    <w:rsid w:val="00371F4D"/>
    <w:rsid w:val="00396B38"/>
    <w:rsid w:val="003A0AAB"/>
    <w:rsid w:val="003A394F"/>
    <w:rsid w:val="003B4FA5"/>
    <w:rsid w:val="003E4D95"/>
    <w:rsid w:val="003E6513"/>
    <w:rsid w:val="003E7C54"/>
    <w:rsid w:val="003F5B57"/>
    <w:rsid w:val="00442B3A"/>
    <w:rsid w:val="00444FF1"/>
    <w:rsid w:val="00476783"/>
    <w:rsid w:val="004978BD"/>
    <w:rsid w:val="004A4A83"/>
    <w:rsid w:val="004A7030"/>
    <w:rsid w:val="004C7BC6"/>
    <w:rsid w:val="004D5105"/>
    <w:rsid w:val="004D7D1F"/>
    <w:rsid w:val="004F2C8A"/>
    <w:rsid w:val="00500973"/>
    <w:rsid w:val="00522146"/>
    <w:rsid w:val="00534FEB"/>
    <w:rsid w:val="005567E5"/>
    <w:rsid w:val="00564CAD"/>
    <w:rsid w:val="00572D14"/>
    <w:rsid w:val="00585CDF"/>
    <w:rsid w:val="005B1FB5"/>
    <w:rsid w:val="005B69EB"/>
    <w:rsid w:val="005D08F1"/>
    <w:rsid w:val="005D139C"/>
    <w:rsid w:val="005D1E5F"/>
    <w:rsid w:val="005D5DAE"/>
    <w:rsid w:val="00616E35"/>
    <w:rsid w:val="00621D58"/>
    <w:rsid w:val="00626221"/>
    <w:rsid w:val="006267BF"/>
    <w:rsid w:val="00633698"/>
    <w:rsid w:val="0064602E"/>
    <w:rsid w:val="006464F4"/>
    <w:rsid w:val="006707C7"/>
    <w:rsid w:val="006727DC"/>
    <w:rsid w:val="00683CA7"/>
    <w:rsid w:val="006B27F5"/>
    <w:rsid w:val="006B476C"/>
    <w:rsid w:val="006C1C7D"/>
    <w:rsid w:val="00710F79"/>
    <w:rsid w:val="007229E6"/>
    <w:rsid w:val="00726720"/>
    <w:rsid w:val="00731E87"/>
    <w:rsid w:val="007335D0"/>
    <w:rsid w:val="00734692"/>
    <w:rsid w:val="00734B4B"/>
    <w:rsid w:val="00751D8D"/>
    <w:rsid w:val="007753EB"/>
    <w:rsid w:val="007B48B7"/>
    <w:rsid w:val="007C538C"/>
    <w:rsid w:val="007D1BB8"/>
    <w:rsid w:val="007E7E29"/>
    <w:rsid w:val="00810582"/>
    <w:rsid w:val="0081146B"/>
    <w:rsid w:val="00824444"/>
    <w:rsid w:val="00830D4F"/>
    <w:rsid w:val="00843612"/>
    <w:rsid w:val="00856416"/>
    <w:rsid w:val="0086049E"/>
    <w:rsid w:val="00863478"/>
    <w:rsid w:val="008773C6"/>
    <w:rsid w:val="00894EC6"/>
    <w:rsid w:val="00897969"/>
    <w:rsid w:val="008A7787"/>
    <w:rsid w:val="008D7ECE"/>
    <w:rsid w:val="00906BE0"/>
    <w:rsid w:val="00916051"/>
    <w:rsid w:val="00917F6D"/>
    <w:rsid w:val="00930818"/>
    <w:rsid w:val="00947904"/>
    <w:rsid w:val="00994E39"/>
    <w:rsid w:val="009A6601"/>
    <w:rsid w:val="009B2A36"/>
    <w:rsid w:val="009B5833"/>
    <w:rsid w:val="009C1E01"/>
    <w:rsid w:val="009D0CE6"/>
    <w:rsid w:val="00A13F99"/>
    <w:rsid w:val="00A60B13"/>
    <w:rsid w:val="00A76224"/>
    <w:rsid w:val="00A76651"/>
    <w:rsid w:val="00A802B5"/>
    <w:rsid w:val="00A82643"/>
    <w:rsid w:val="00A950D0"/>
    <w:rsid w:val="00AA7232"/>
    <w:rsid w:val="00AB778B"/>
    <w:rsid w:val="00AF0E6E"/>
    <w:rsid w:val="00B211B1"/>
    <w:rsid w:val="00B22993"/>
    <w:rsid w:val="00B261A9"/>
    <w:rsid w:val="00B356DB"/>
    <w:rsid w:val="00B43672"/>
    <w:rsid w:val="00B62760"/>
    <w:rsid w:val="00B640EE"/>
    <w:rsid w:val="00B807D8"/>
    <w:rsid w:val="00BE1B26"/>
    <w:rsid w:val="00BE5387"/>
    <w:rsid w:val="00BE6B3D"/>
    <w:rsid w:val="00C07271"/>
    <w:rsid w:val="00C13590"/>
    <w:rsid w:val="00C42079"/>
    <w:rsid w:val="00C50809"/>
    <w:rsid w:val="00C53640"/>
    <w:rsid w:val="00C5647C"/>
    <w:rsid w:val="00C60216"/>
    <w:rsid w:val="00C624FC"/>
    <w:rsid w:val="00C74655"/>
    <w:rsid w:val="00C779B9"/>
    <w:rsid w:val="00C9571C"/>
    <w:rsid w:val="00CA3AFD"/>
    <w:rsid w:val="00CA58F8"/>
    <w:rsid w:val="00CB277C"/>
    <w:rsid w:val="00CD13DA"/>
    <w:rsid w:val="00CE1801"/>
    <w:rsid w:val="00CE1F0A"/>
    <w:rsid w:val="00D0003B"/>
    <w:rsid w:val="00D031B7"/>
    <w:rsid w:val="00D210F5"/>
    <w:rsid w:val="00D226B9"/>
    <w:rsid w:val="00D305CD"/>
    <w:rsid w:val="00D32573"/>
    <w:rsid w:val="00D37634"/>
    <w:rsid w:val="00D41429"/>
    <w:rsid w:val="00D4189F"/>
    <w:rsid w:val="00D62E79"/>
    <w:rsid w:val="00D706F0"/>
    <w:rsid w:val="00D758CB"/>
    <w:rsid w:val="00D83F44"/>
    <w:rsid w:val="00DB4B9F"/>
    <w:rsid w:val="00DB6418"/>
    <w:rsid w:val="00E01257"/>
    <w:rsid w:val="00E04C3A"/>
    <w:rsid w:val="00E10C68"/>
    <w:rsid w:val="00E30679"/>
    <w:rsid w:val="00E42ED8"/>
    <w:rsid w:val="00E43B6D"/>
    <w:rsid w:val="00E93043"/>
    <w:rsid w:val="00E97D1A"/>
    <w:rsid w:val="00EA064A"/>
    <w:rsid w:val="00EA0DC7"/>
    <w:rsid w:val="00EB1B62"/>
    <w:rsid w:val="00EC47CF"/>
    <w:rsid w:val="00EC7445"/>
    <w:rsid w:val="00EC7DCF"/>
    <w:rsid w:val="00ED262D"/>
    <w:rsid w:val="00EE295C"/>
    <w:rsid w:val="00F05138"/>
    <w:rsid w:val="00F1167F"/>
    <w:rsid w:val="00F24A7E"/>
    <w:rsid w:val="00F55499"/>
    <w:rsid w:val="00F62FA5"/>
    <w:rsid w:val="00F827A7"/>
    <w:rsid w:val="00F91BEE"/>
    <w:rsid w:val="00FA00F1"/>
    <w:rsid w:val="00FA1470"/>
    <w:rsid w:val="00FA5FEB"/>
    <w:rsid w:val="00FD40A5"/>
    <w:rsid w:val="00FE0A6E"/>
    <w:rsid w:val="00FE775B"/>
    <w:rsid w:val="00FF3A66"/>
    <w:rsid w:val="00FF5A3A"/>
    <w:rsid w:val="00FF7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EBC616"/>
  <w15:chartTrackingRefBased/>
  <w15:docId w15:val="{E173C31A-18DA-436D-8475-7755D21E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4F4"/>
  </w:style>
  <w:style w:type="paragraph" w:styleId="Heading1">
    <w:name w:val="heading 1"/>
    <w:basedOn w:val="Normal"/>
    <w:next w:val="Normal"/>
    <w:link w:val="Heading1Char"/>
    <w:uiPriority w:val="9"/>
    <w:qFormat/>
    <w:rsid w:val="00074B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7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07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B87"/>
  </w:style>
  <w:style w:type="paragraph" w:styleId="Footer">
    <w:name w:val="footer"/>
    <w:basedOn w:val="Normal"/>
    <w:link w:val="FooterChar"/>
    <w:uiPriority w:val="99"/>
    <w:unhideWhenUsed/>
    <w:rsid w:val="00074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B87"/>
  </w:style>
  <w:style w:type="character" w:customStyle="1" w:styleId="Heading1Char">
    <w:name w:val="Heading 1 Char"/>
    <w:basedOn w:val="DefaultParagraphFont"/>
    <w:link w:val="Heading1"/>
    <w:uiPriority w:val="9"/>
    <w:rsid w:val="00074B8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74B87"/>
    <w:pPr>
      <w:outlineLvl w:val="9"/>
    </w:pPr>
    <w:rPr>
      <w:lang w:val="en-US"/>
    </w:rPr>
  </w:style>
  <w:style w:type="paragraph" w:styleId="TOC1">
    <w:name w:val="toc 1"/>
    <w:basedOn w:val="Normal"/>
    <w:next w:val="Normal"/>
    <w:autoRedefine/>
    <w:uiPriority w:val="39"/>
    <w:unhideWhenUsed/>
    <w:rsid w:val="00074B87"/>
    <w:pPr>
      <w:spacing w:after="100"/>
    </w:pPr>
  </w:style>
  <w:style w:type="character" w:styleId="Hyperlink">
    <w:name w:val="Hyperlink"/>
    <w:basedOn w:val="DefaultParagraphFont"/>
    <w:uiPriority w:val="99"/>
    <w:unhideWhenUsed/>
    <w:rsid w:val="00074B87"/>
    <w:rPr>
      <w:color w:val="0563C1" w:themeColor="hyperlink"/>
      <w:u w:val="single"/>
    </w:rPr>
  </w:style>
  <w:style w:type="character" w:customStyle="1" w:styleId="UnresolvedMention1">
    <w:name w:val="Unresolved Mention1"/>
    <w:basedOn w:val="DefaultParagraphFont"/>
    <w:uiPriority w:val="99"/>
    <w:semiHidden/>
    <w:unhideWhenUsed/>
    <w:rsid w:val="004D5105"/>
    <w:rPr>
      <w:color w:val="605E5C"/>
      <w:shd w:val="clear" w:color="auto" w:fill="E1DFDD"/>
    </w:rPr>
  </w:style>
  <w:style w:type="character" w:styleId="FollowedHyperlink">
    <w:name w:val="FollowedHyperlink"/>
    <w:basedOn w:val="DefaultParagraphFont"/>
    <w:uiPriority w:val="99"/>
    <w:semiHidden/>
    <w:unhideWhenUsed/>
    <w:rsid w:val="004D5105"/>
    <w:rPr>
      <w:color w:val="954F72" w:themeColor="followedHyperlink"/>
      <w:u w:val="single"/>
    </w:rPr>
  </w:style>
  <w:style w:type="paragraph" w:customStyle="1" w:styleId="paragraph">
    <w:name w:val="paragraph"/>
    <w:basedOn w:val="Normal"/>
    <w:rsid w:val="004D51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D5105"/>
  </w:style>
  <w:style w:type="character" w:customStyle="1" w:styleId="normaltextrun">
    <w:name w:val="normaltextrun"/>
    <w:basedOn w:val="DefaultParagraphFont"/>
    <w:rsid w:val="004D5105"/>
  </w:style>
  <w:style w:type="table" w:styleId="TableGrid">
    <w:name w:val="Table Grid"/>
    <w:basedOn w:val="TableNormal"/>
    <w:uiPriority w:val="39"/>
    <w:rsid w:val="002D0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7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BC6"/>
    <w:rPr>
      <w:rFonts w:ascii="Segoe UI" w:hAnsi="Segoe UI" w:cs="Segoe UI"/>
      <w:sz w:val="18"/>
      <w:szCs w:val="18"/>
    </w:rPr>
  </w:style>
  <w:style w:type="character" w:customStyle="1" w:styleId="Heading2Char">
    <w:name w:val="Heading 2 Char"/>
    <w:basedOn w:val="DefaultParagraphFont"/>
    <w:link w:val="Heading2"/>
    <w:uiPriority w:val="9"/>
    <w:rsid w:val="006707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707C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707C7"/>
    <w:pPr>
      <w:ind w:left="720"/>
      <w:contextualSpacing/>
    </w:pPr>
  </w:style>
  <w:style w:type="character" w:styleId="UnresolvedMention">
    <w:name w:val="Unresolved Mention"/>
    <w:basedOn w:val="DefaultParagraphFont"/>
    <w:uiPriority w:val="99"/>
    <w:semiHidden/>
    <w:unhideWhenUsed/>
    <w:rsid w:val="00C60216"/>
    <w:rPr>
      <w:color w:val="605E5C"/>
      <w:shd w:val="clear" w:color="auto" w:fill="E1DFDD"/>
    </w:rPr>
  </w:style>
  <w:style w:type="table" w:customStyle="1" w:styleId="TableGrid1">
    <w:name w:val="Table Grid1"/>
    <w:basedOn w:val="TableNormal"/>
    <w:next w:val="TableGrid"/>
    <w:uiPriority w:val="39"/>
    <w:rsid w:val="00BE6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1D0B"/>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F91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851">
      <w:bodyDiv w:val="1"/>
      <w:marLeft w:val="0"/>
      <w:marRight w:val="0"/>
      <w:marTop w:val="0"/>
      <w:marBottom w:val="0"/>
      <w:divBdr>
        <w:top w:val="none" w:sz="0" w:space="0" w:color="auto"/>
        <w:left w:val="none" w:sz="0" w:space="0" w:color="auto"/>
        <w:bottom w:val="none" w:sz="0" w:space="0" w:color="auto"/>
        <w:right w:val="none" w:sz="0" w:space="0" w:color="auto"/>
      </w:divBdr>
    </w:div>
    <w:div w:id="10881897">
      <w:bodyDiv w:val="1"/>
      <w:marLeft w:val="0"/>
      <w:marRight w:val="0"/>
      <w:marTop w:val="0"/>
      <w:marBottom w:val="0"/>
      <w:divBdr>
        <w:top w:val="none" w:sz="0" w:space="0" w:color="auto"/>
        <w:left w:val="none" w:sz="0" w:space="0" w:color="auto"/>
        <w:bottom w:val="none" w:sz="0" w:space="0" w:color="auto"/>
        <w:right w:val="none" w:sz="0" w:space="0" w:color="auto"/>
      </w:divBdr>
    </w:div>
    <w:div w:id="351035563">
      <w:bodyDiv w:val="1"/>
      <w:marLeft w:val="0"/>
      <w:marRight w:val="0"/>
      <w:marTop w:val="0"/>
      <w:marBottom w:val="0"/>
      <w:divBdr>
        <w:top w:val="none" w:sz="0" w:space="0" w:color="auto"/>
        <w:left w:val="none" w:sz="0" w:space="0" w:color="auto"/>
        <w:bottom w:val="none" w:sz="0" w:space="0" w:color="auto"/>
        <w:right w:val="none" w:sz="0" w:space="0" w:color="auto"/>
      </w:divBdr>
    </w:div>
    <w:div w:id="388112314">
      <w:bodyDiv w:val="1"/>
      <w:marLeft w:val="0"/>
      <w:marRight w:val="0"/>
      <w:marTop w:val="0"/>
      <w:marBottom w:val="0"/>
      <w:divBdr>
        <w:top w:val="none" w:sz="0" w:space="0" w:color="auto"/>
        <w:left w:val="none" w:sz="0" w:space="0" w:color="auto"/>
        <w:bottom w:val="none" w:sz="0" w:space="0" w:color="auto"/>
        <w:right w:val="none" w:sz="0" w:space="0" w:color="auto"/>
      </w:divBdr>
    </w:div>
    <w:div w:id="583146980">
      <w:bodyDiv w:val="1"/>
      <w:marLeft w:val="0"/>
      <w:marRight w:val="0"/>
      <w:marTop w:val="0"/>
      <w:marBottom w:val="0"/>
      <w:divBdr>
        <w:top w:val="none" w:sz="0" w:space="0" w:color="auto"/>
        <w:left w:val="none" w:sz="0" w:space="0" w:color="auto"/>
        <w:bottom w:val="none" w:sz="0" w:space="0" w:color="auto"/>
        <w:right w:val="none" w:sz="0" w:space="0" w:color="auto"/>
      </w:divBdr>
    </w:div>
    <w:div w:id="716517034">
      <w:bodyDiv w:val="1"/>
      <w:marLeft w:val="0"/>
      <w:marRight w:val="0"/>
      <w:marTop w:val="0"/>
      <w:marBottom w:val="0"/>
      <w:divBdr>
        <w:top w:val="none" w:sz="0" w:space="0" w:color="auto"/>
        <w:left w:val="none" w:sz="0" w:space="0" w:color="auto"/>
        <w:bottom w:val="none" w:sz="0" w:space="0" w:color="auto"/>
        <w:right w:val="none" w:sz="0" w:space="0" w:color="auto"/>
      </w:divBdr>
    </w:div>
    <w:div w:id="768504508">
      <w:bodyDiv w:val="1"/>
      <w:marLeft w:val="0"/>
      <w:marRight w:val="0"/>
      <w:marTop w:val="0"/>
      <w:marBottom w:val="0"/>
      <w:divBdr>
        <w:top w:val="none" w:sz="0" w:space="0" w:color="auto"/>
        <w:left w:val="none" w:sz="0" w:space="0" w:color="auto"/>
        <w:bottom w:val="none" w:sz="0" w:space="0" w:color="auto"/>
        <w:right w:val="none" w:sz="0" w:space="0" w:color="auto"/>
      </w:divBdr>
    </w:div>
    <w:div w:id="809204982">
      <w:bodyDiv w:val="1"/>
      <w:marLeft w:val="0"/>
      <w:marRight w:val="0"/>
      <w:marTop w:val="0"/>
      <w:marBottom w:val="0"/>
      <w:divBdr>
        <w:top w:val="none" w:sz="0" w:space="0" w:color="auto"/>
        <w:left w:val="none" w:sz="0" w:space="0" w:color="auto"/>
        <w:bottom w:val="none" w:sz="0" w:space="0" w:color="auto"/>
        <w:right w:val="none" w:sz="0" w:space="0" w:color="auto"/>
      </w:divBdr>
    </w:div>
    <w:div w:id="878008935">
      <w:bodyDiv w:val="1"/>
      <w:marLeft w:val="0"/>
      <w:marRight w:val="0"/>
      <w:marTop w:val="0"/>
      <w:marBottom w:val="0"/>
      <w:divBdr>
        <w:top w:val="none" w:sz="0" w:space="0" w:color="auto"/>
        <w:left w:val="none" w:sz="0" w:space="0" w:color="auto"/>
        <w:bottom w:val="none" w:sz="0" w:space="0" w:color="auto"/>
        <w:right w:val="none" w:sz="0" w:space="0" w:color="auto"/>
      </w:divBdr>
    </w:div>
    <w:div w:id="887375986">
      <w:bodyDiv w:val="1"/>
      <w:marLeft w:val="0"/>
      <w:marRight w:val="0"/>
      <w:marTop w:val="0"/>
      <w:marBottom w:val="0"/>
      <w:divBdr>
        <w:top w:val="none" w:sz="0" w:space="0" w:color="auto"/>
        <w:left w:val="none" w:sz="0" w:space="0" w:color="auto"/>
        <w:bottom w:val="none" w:sz="0" w:space="0" w:color="auto"/>
        <w:right w:val="none" w:sz="0" w:space="0" w:color="auto"/>
      </w:divBdr>
    </w:div>
    <w:div w:id="1173959386">
      <w:bodyDiv w:val="1"/>
      <w:marLeft w:val="0"/>
      <w:marRight w:val="0"/>
      <w:marTop w:val="0"/>
      <w:marBottom w:val="0"/>
      <w:divBdr>
        <w:top w:val="none" w:sz="0" w:space="0" w:color="auto"/>
        <w:left w:val="none" w:sz="0" w:space="0" w:color="auto"/>
        <w:bottom w:val="none" w:sz="0" w:space="0" w:color="auto"/>
        <w:right w:val="none" w:sz="0" w:space="0" w:color="auto"/>
      </w:divBdr>
      <w:divsChild>
        <w:div w:id="133379206">
          <w:marLeft w:val="0"/>
          <w:marRight w:val="0"/>
          <w:marTop w:val="0"/>
          <w:marBottom w:val="0"/>
          <w:divBdr>
            <w:top w:val="none" w:sz="0" w:space="0" w:color="auto"/>
            <w:left w:val="none" w:sz="0" w:space="0" w:color="auto"/>
            <w:bottom w:val="none" w:sz="0" w:space="0" w:color="auto"/>
            <w:right w:val="none" w:sz="0" w:space="0" w:color="auto"/>
          </w:divBdr>
        </w:div>
        <w:div w:id="218516517">
          <w:marLeft w:val="0"/>
          <w:marRight w:val="0"/>
          <w:marTop w:val="0"/>
          <w:marBottom w:val="0"/>
          <w:divBdr>
            <w:top w:val="none" w:sz="0" w:space="0" w:color="auto"/>
            <w:left w:val="none" w:sz="0" w:space="0" w:color="auto"/>
            <w:bottom w:val="none" w:sz="0" w:space="0" w:color="auto"/>
            <w:right w:val="none" w:sz="0" w:space="0" w:color="auto"/>
          </w:divBdr>
        </w:div>
        <w:div w:id="941692960">
          <w:marLeft w:val="0"/>
          <w:marRight w:val="0"/>
          <w:marTop w:val="0"/>
          <w:marBottom w:val="0"/>
          <w:divBdr>
            <w:top w:val="none" w:sz="0" w:space="0" w:color="auto"/>
            <w:left w:val="none" w:sz="0" w:space="0" w:color="auto"/>
            <w:bottom w:val="none" w:sz="0" w:space="0" w:color="auto"/>
            <w:right w:val="none" w:sz="0" w:space="0" w:color="auto"/>
          </w:divBdr>
        </w:div>
      </w:divsChild>
    </w:div>
    <w:div w:id="19754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0DCFD-1BBA-4C2E-A3F6-FE18736E6C1B}">
  <ds:schemaRefs>
    <ds:schemaRef ds:uri="94f5a530-501a-4181-bcbc-55e703a8aadd"/>
    <ds:schemaRef ds:uri="http://schemas.microsoft.com/office/infopath/2007/PartnerControls"/>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67c75b9b-8fbd-4317-8093-322cbc3b022c"/>
    <ds:schemaRef ds:uri="http://purl.org/dc/dcmitype/"/>
    <ds:schemaRef ds:uri="http://purl.org/dc/terms/"/>
  </ds:schemaRefs>
</ds:datastoreItem>
</file>

<file path=customXml/itemProps2.xml><?xml version="1.0" encoding="utf-8"?>
<ds:datastoreItem xmlns:ds="http://schemas.openxmlformats.org/officeDocument/2006/customXml" ds:itemID="{6808C5BB-FCD1-41C4-B617-437732B730F9}">
  <ds:schemaRefs>
    <ds:schemaRef ds:uri="http://schemas.microsoft.com/sharepoint/v3/contenttype/forms"/>
  </ds:schemaRefs>
</ds:datastoreItem>
</file>

<file path=customXml/itemProps3.xml><?xml version="1.0" encoding="utf-8"?>
<ds:datastoreItem xmlns:ds="http://schemas.openxmlformats.org/officeDocument/2006/customXml" ds:itemID="{3666A6AA-B230-4C60-96A1-6FE57D6CA052}"/>
</file>

<file path=customXml/itemProps4.xml><?xml version="1.0" encoding="utf-8"?>
<ds:datastoreItem xmlns:ds="http://schemas.openxmlformats.org/officeDocument/2006/customXml" ds:itemID="{0A68B306-54C2-4939-A8FD-25F0F94B6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2089</Words>
  <Characters>11913</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13975</CharactersWithSpaces>
  <SharedDoc>false</SharedDoc>
  <HLinks>
    <vt:vector size="60" baseType="variant">
      <vt:variant>
        <vt:i4>3145827</vt:i4>
      </vt:variant>
      <vt:variant>
        <vt:i4>48</vt:i4>
      </vt:variant>
      <vt:variant>
        <vt:i4>0</vt:i4>
      </vt:variant>
      <vt:variant>
        <vt:i4>5</vt:i4>
      </vt:variant>
      <vt:variant>
        <vt:lpwstr>http://www.sfc.ac.uk/publications-statistics/statistical-publications/2021/SFCST012021.aspx</vt:lpwstr>
      </vt:variant>
      <vt:variant>
        <vt:lpwstr/>
      </vt:variant>
      <vt:variant>
        <vt:i4>3670106</vt:i4>
      </vt:variant>
      <vt:variant>
        <vt:i4>45</vt:i4>
      </vt:variant>
      <vt:variant>
        <vt:i4>0</vt:i4>
      </vt:variant>
      <vt:variant>
        <vt:i4>5</vt:i4>
      </vt:variant>
      <vt:variant>
        <vt:lpwstr>C:\Users\angela.campbell\AppData\Local\Microsoft\Windows\INetCache\Content.Outlook\JNPBS5HO\Diane.McGill@nclan.ac.uk</vt:lpwstr>
      </vt:variant>
      <vt:variant>
        <vt:lpwstr/>
      </vt:variant>
      <vt:variant>
        <vt:i4>5046277</vt:i4>
      </vt:variant>
      <vt:variant>
        <vt:i4>42</vt:i4>
      </vt:variant>
      <vt:variant>
        <vt:i4>0</vt:i4>
      </vt:variant>
      <vt:variant>
        <vt:i4>5</vt:i4>
      </vt:variant>
      <vt:variant>
        <vt:lpwstr>https://www.nclanarkshire.ac.uk/</vt:lpwstr>
      </vt:variant>
      <vt:variant>
        <vt:lpwstr/>
      </vt:variant>
      <vt:variant>
        <vt:i4>2752618</vt:i4>
      </vt:variant>
      <vt:variant>
        <vt:i4>39</vt:i4>
      </vt:variant>
      <vt:variant>
        <vt:i4>0</vt:i4>
      </vt:variant>
      <vt:variant>
        <vt:i4>5</vt:i4>
      </vt:variant>
      <vt:variant>
        <vt:lpwstr>https://infopoint.nclan.ac.uk/</vt:lpwstr>
      </vt:variant>
      <vt:variant>
        <vt:lpwstr/>
      </vt:variant>
      <vt:variant>
        <vt:i4>1703984</vt:i4>
      </vt:variant>
      <vt:variant>
        <vt:i4>32</vt:i4>
      </vt:variant>
      <vt:variant>
        <vt:i4>0</vt:i4>
      </vt:variant>
      <vt:variant>
        <vt:i4>5</vt:i4>
      </vt:variant>
      <vt:variant>
        <vt:lpwstr/>
      </vt:variant>
      <vt:variant>
        <vt:lpwstr>_Toc63590433</vt:lpwstr>
      </vt:variant>
      <vt:variant>
        <vt:i4>1769520</vt:i4>
      </vt:variant>
      <vt:variant>
        <vt:i4>26</vt:i4>
      </vt:variant>
      <vt:variant>
        <vt:i4>0</vt:i4>
      </vt:variant>
      <vt:variant>
        <vt:i4>5</vt:i4>
      </vt:variant>
      <vt:variant>
        <vt:lpwstr/>
      </vt:variant>
      <vt:variant>
        <vt:lpwstr>_Toc63590432</vt:lpwstr>
      </vt:variant>
      <vt:variant>
        <vt:i4>1572912</vt:i4>
      </vt:variant>
      <vt:variant>
        <vt:i4>20</vt:i4>
      </vt:variant>
      <vt:variant>
        <vt:i4>0</vt:i4>
      </vt:variant>
      <vt:variant>
        <vt:i4>5</vt:i4>
      </vt:variant>
      <vt:variant>
        <vt:lpwstr/>
      </vt:variant>
      <vt:variant>
        <vt:lpwstr>_Toc63590431</vt:lpwstr>
      </vt:variant>
      <vt:variant>
        <vt:i4>1638448</vt:i4>
      </vt:variant>
      <vt:variant>
        <vt:i4>14</vt:i4>
      </vt:variant>
      <vt:variant>
        <vt:i4>0</vt:i4>
      </vt:variant>
      <vt:variant>
        <vt:i4>5</vt:i4>
      </vt:variant>
      <vt:variant>
        <vt:lpwstr/>
      </vt:variant>
      <vt:variant>
        <vt:lpwstr>_Toc63590430</vt:lpwstr>
      </vt:variant>
      <vt:variant>
        <vt:i4>1048627</vt:i4>
      </vt:variant>
      <vt:variant>
        <vt:i4>8</vt:i4>
      </vt:variant>
      <vt:variant>
        <vt:i4>0</vt:i4>
      </vt:variant>
      <vt:variant>
        <vt:i4>5</vt:i4>
      </vt:variant>
      <vt:variant>
        <vt:lpwstr/>
      </vt:variant>
      <vt:variant>
        <vt:lpwstr>_Toc63590409</vt:lpwstr>
      </vt:variant>
      <vt:variant>
        <vt:i4>1114163</vt:i4>
      </vt:variant>
      <vt:variant>
        <vt:i4>2</vt:i4>
      </vt:variant>
      <vt:variant>
        <vt:i4>0</vt:i4>
      </vt:variant>
      <vt:variant>
        <vt:i4>5</vt:i4>
      </vt:variant>
      <vt:variant>
        <vt:lpwstr/>
      </vt:variant>
      <vt:variant>
        <vt:lpwstr>_Toc63590408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Baxter</dc:creator>
  <cp:keywords/>
  <dc:description/>
  <cp:lastModifiedBy>Angela Campbell</cp:lastModifiedBy>
  <cp:revision>2</cp:revision>
  <cp:lastPrinted>2024-08-28T09:12:00Z</cp:lastPrinted>
  <dcterms:created xsi:type="dcterms:W3CDTF">2024-08-28T09:24:00Z</dcterms:created>
  <dcterms:modified xsi:type="dcterms:W3CDTF">2024-08-28T09:24:00Z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MediaServiceImageTags">
    <vt:lpwstr/>
  </property>
</Properties>
</file>